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E0C0FB" w14:textId="77777777" w:rsidR="001F5342" w:rsidRPr="009A53BA" w:rsidRDefault="001F5342" w:rsidP="009A53BA">
      <w:pPr>
        <w:spacing w:line="240" w:lineRule="auto"/>
        <w:jc w:val="center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VETERINĀRO ZĀĻU APRAKSTS</w:t>
      </w:r>
    </w:p>
    <w:p w14:paraId="6A582004" w14:textId="77777777" w:rsidR="00A24CE2" w:rsidRPr="009A53BA" w:rsidRDefault="00A24CE2" w:rsidP="009A53BA">
      <w:pPr>
        <w:spacing w:line="240" w:lineRule="auto"/>
        <w:jc w:val="center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V/DCP/17/0020</w:t>
      </w:r>
    </w:p>
    <w:p w14:paraId="51D13A8E" w14:textId="77777777" w:rsidR="00A24CE2" w:rsidRPr="009A53BA" w:rsidRDefault="00A24CE2" w:rsidP="009A53BA">
      <w:pPr>
        <w:spacing w:line="240" w:lineRule="auto"/>
        <w:jc w:val="center"/>
        <w:rPr>
          <w:rFonts w:ascii="Times New Roman" w:hAnsi="Times New Roman" w:cs="Times New Roman"/>
          <w:b/>
          <w:szCs w:val="22"/>
          <w:lang w:val="lv-LV"/>
        </w:rPr>
      </w:pPr>
    </w:p>
    <w:p w14:paraId="0250D079" w14:textId="77777777" w:rsidR="001F5342" w:rsidRPr="009A53BA" w:rsidRDefault="001F5342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715A5E50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1.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VETERINĀRO ZĀĻU NOSAUKUMS</w:t>
      </w:r>
    </w:p>
    <w:p w14:paraId="32E11149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F60EF6A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b/>
          <w:szCs w:val="22"/>
          <w:lang w:val="lv-LV"/>
        </w:rPr>
        <w:t>Histodine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10 mg/ml šķīdums injekcijām liellopiem </w:t>
      </w:r>
    </w:p>
    <w:p w14:paraId="44CDA3CD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011D7B3" w14:textId="77777777" w:rsidR="00996DD3" w:rsidRPr="009A53BA" w:rsidRDefault="00996DD3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78CBAE7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2.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KVALITATĪVAIS UN KVANTITATĪVAIS SASTĀVS</w:t>
      </w:r>
    </w:p>
    <w:p w14:paraId="1CEB17B2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1F8D119" w14:textId="77777777" w:rsidR="005C4795" w:rsidRPr="009A53BA" w:rsidRDefault="00985676" w:rsidP="002332F0">
      <w:pPr>
        <w:pStyle w:val="Heading4"/>
        <w:rPr>
          <w:rFonts w:ascii="Times New Roman" w:hAnsi="Times New Roman" w:cs="Times New Roman"/>
          <w:szCs w:val="22"/>
          <w:u w:val="none"/>
          <w:lang w:val="lv-LV"/>
        </w:rPr>
      </w:pPr>
      <w:r w:rsidRPr="009A53BA">
        <w:rPr>
          <w:rFonts w:ascii="Times New Roman" w:hAnsi="Times New Roman" w:cs="Times New Roman"/>
          <w:szCs w:val="22"/>
          <w:u w:val="none"/>
          <w:lang w:val="lv-LV"/>
        </w:rPr>
        <w:t xml:space="preserve">1 ml satur: </w:t>
      </w:r>
    </w:p>
    <w:p w14:paraId="417A5FDC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EBC421C" w14:textId="77777777" w:rsidR="005C4795" w:rsidRPr="009A53BA" w:rsidRDefault="00985676" w:rsidP="002332F0">
      <w:pPr>
        <w:pStyle w:val="Heading5"/>
        <w:rPr>
          <w:rFonts w:ascii="Times New Roman" w:hAnsi="Times New Roman" w:cs="Times New Roman"/>
          <w:noProof w:val="0"/>
          <w:szCs w:val="22"/>
          <w:lang w:val="lv-LV"/>
        </w:rPr>
      </w:pPr>
      <w:r w:rsidRPr="009A53BA">
        <w:rPr>
          <w:rFonts w:ascii="Times New Roman" w:hAnsi="Times New Roman" w:cs="Times New Roman"/>
          <w:noProof w:val="0"/>
          <w:szCs w:val="22"/>
          <w:lang w:val="lv-LV"/>
        </w:rPr>
        <w:t>Aktīvā viela:</w:t>
      </w:r>
    </w:p>
    <w:p w14:paraId="6740E5B7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kern w:val="28"/>
          <w:szCs w:val="22"/>
          <w:lang w:val="lv-LV"/>
        </w:rPr>
        <w:t>Hlorfenamīna</w:t>
      </w:r>
      <w:proofErr w:type="spellEnd"/>
      <w:r w:rsidRPr="009A53BA">
        <w:rPr>
          <w:rFonts w:ascii="Times New Roman" w:hAnsi="Times New Roman" w:cs="Times New Roman"/>
          <w:kern w:val="28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kern w:val="28"/>
          <w:szCs w:val="22"/>
          <w:lang w:val="lv-LV"/>
        </w:rPr>
        <w:t>maleāts</w:t>
      </w:r>
      <w:proofErr w:type="spellEnd"/>
      <w:r w:rsidRPr="009A53BA">
        <w:rPr>
          <w:rFonts w:ascii="Times New Roman" w:hAnsi="Times New Roman" w:cs="Times New Roman"/>
          <w:kern w:val="28"/>
          <w:szCs w:val="22"/>
          <w:lang w:val="lv-LV"/>
        </w:rPr>
        <w:t xml:space="preserve"> </w:t>
      </w:r>
      <w:r w:rsidRPr="009A53BA">
        <w:rPr>
          <w:rFonts w:ascii="Times New Roman" w:hAnsi="Times New Roman" w:cs="Times New Roman"/>
          <w:szCs w:val="22"/>
          <w:lang w:val="lv-LV"/>
        </w:rPr>
        <w:t>10 mg</w:t>
      </w:r>
    </w:p>
    <w:p w14:paraId="3FB98A80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(atbilst 7,03 mg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>)</w:t>
      </w:r>
    </w:p>
    <w:p w14:paraId="4C03355A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222AA44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b/>
          <w:szCs w:val="22"/>
          <w:lang w:val="lv-LV"/>
        </w:rPr>
        <w:t>Palīgvielas</w:t>
      </w:r>
      <w:proofErr w:type="spellEnd"/>
      <w:r w:rsidRPr="009A53BA">
        <w:rPr>
          <w:rFonts w:ascii="Times New Roman" w:hAnsi="Times New Roman" w:cs="Times New Roman"/>
          <w:b/>
          <w:szCs w:val="22"/>
          <w:lang w:val="lv-LV"/>
        </w:rPr>
        <w:t>:</w:t>
      </w:r>
    </w:p>
    <w:p w14:paraId="76EAD41B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Metilparahidroksibenzoāts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(E218)</w:t>
      </w:r>
      <w:r w:rsidRPr="009A53BA">
        <w:rPr>
          <w:rFonts w:ascii="Times New Roman" w:hAnsi="Times New Roman" w:cs="Times New Roman"/>
          <w:szCs w:val="22"/>
          <w:lang w:val="lv-LV"/>
        </w:rPr>
        <w:tab/>
        <w:t xml:space="preserve">1,0 mg </w:t>
      </w:r>
    </w:p>
    <w:p w14:paraId="29D8151C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Propilparahidroksibenzoāts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ab/>
      </w:r>
      <w:r w:rsidRPr="009A53BA">
        <w:rPr>
          <w:rFonts w:ascii="Times New Roman" w:hAnsi="Times New Roman" w:cs="Times New Roman"/>
          <w:szCs w:val="22"/>
          <w:lang w:val="lv-LV"/>
        </w:rPr>
        <w:tab/>
        <w:t>0,2 mg</w:t>
      </w:r>
    </w:p>
    <w:p w14:paraId="61AE8C0A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03F56AB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Pilnu palīgvielu sarakstu skatīt 6.1. apakšpunktā.</w:t>
      </w:r>
    </w:p>
    <w:p w14:paraId="18EC9B57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48101B71" w14:textId="77777777" w:rsidR="0078443A" w:rsidRPr="009A53BA" w:rsidRDefault="0078443A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CF9A728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3.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ZĀĻU FORMA</w:t>
      </w:r>
    </w:p>
    <w:p w14:paraId="008E852C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7697A214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Šķīdums injekcijām.</w:t>
      </w:r>
    </w:p>
    <w:p w14:paraId="3231C2D8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Dzidrs, bezkrāsains šķīdums.</w:t>
      </w:r>
    </w:p>
    <w:p w14:paraId="3A0C94F0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FBA8512" w14:textId="77777777" w:rsidR="0078443A" w:rsidRPr="009A53BA" w:rsidRDefault="0078443A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18FBAC4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 xml:space="preserve">KLĪNISKĀ INFORMĀCIJA </w:t>
      </w:r>
    </w:p>
    <w:p w14:paraId="01FC9FAA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5385E18C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4.1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Mērķa sugas</w:t>
      </w:r>
    </w:p>
    <w:p w14:paraId="522AA451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48EE8A99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Liellopi</w:t>
      </w:r>
      <w:r w:rsidR="00D04C8D" w:rsidRPr="009A53BA">
        <w:rPr>
          <w:rFonts w:ascii="Times New Roman" w:hAnsi="Times New Roman" w:cs="Times New Roman"/>
          <w:szCs w:val="22"/>
          <w:lang w:val="lv-LV"/>
        </w:rPr>
        <w:t>.</w:t>
      </w:r>
    </w:p>
    <w:p w14:paraId="0247DAE4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9A4FF00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4.2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Lietošanas indikācijas, norādot mērķa sugas</w:t>
      </w:r>
    </w:p>
    <w:p w14:paraId="69D74FE2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04207A61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Ar histamīna izdalīšanos saistītu stāvokļu simptomātiskai ārstēšanai. </w:t>
      </w:r>
    </w:p>
    <w:p w14:paraId="6D039694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DB4A693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4.3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Kontrindikācijas</w:t>
      </w:r>
    </w:p>
    <w:p w14:paraId="56672427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4DE2C256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Nelietot gadījumos, ja konstatēta pastiprināta jutība pret aktīvo vielu vai pret kādu no palīgvielām.</w:t>
      </w:r>
    </w:p>
    <w:p w14:paraId="0F4632BD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131539CE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4.4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Īpaši brīdinājumi katrai mērķa sugai</w:t>
      </w:r>
    </w:p>
    <w:p w14:paraId="30574FB4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D7FEE71" w14:textId="27442C23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Nav.</w:t>
      </w:r>
    </w:p>
    <w:p w14:paraId="1FDAF760" w14:textId="77777777" w:rsidR="00996DD3" w:rsidRPr="009A53BA" w:rsidRDefault="00996DD3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E50D34D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4.5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Īpaši piesardzības pasākumi lietošanā</w:t>
      </w:r>
    </w:p>
    <w:p w14:paraId="6DC6F801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05251FB3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  <w:r w:rsidRPr="009A53BA">
        <w:rPr>
          <w:rFonts w:ascii="Times New Roman" w:hAnsi="Times New Roman" w:cs="Times New Roman"/>
          <w:szCs w:val="22"/>
          <w:u w:val="single"/>
          <w:lang w:val="lv-LV"/>
        </w:rPr>
        <w:t>Īpaši piesardzības pasākumi, lietojot dzīvniekiem</w:t>
      </w:r>
    </w:p>
    <w:p w14:paraId="69232EA3" w14:textId="7D5E0890" w:rsidR="005C4795" w:rsidRPr="009A53BA" w:rsidRDefault="002202F8" w:rsidP="009A53BA">
      <w:pPr>
        <w:spacing w:line="240" w:lineRule="auto"/>
        <w:jc w:val="both"/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>Ne</w:t>
      </w:r>
      <w:r w:rsidR="00985676" w:rsidRPr="009A53BA">
        <w:rPr>
          <w:rFonts w:ascii="Times New Roman" w:hAnsi="Times New Roman" w:cs="Times New Roman"/>
          <w:szCs w:val="22"/>
          <w:lang w:val="lv-LV"/>
        </w:rPr>
        <w:t xml:space="preserve">lietot </w:t>
      </w:r>
      <w:proofErr w:type="spellStart"/>
      <w:r w:rsidR="00985676" w:rsidRPr="009A53BA">
        <w:rPr>
          <w:rFonts w:ascii="Times New Roman" w:hAnsi="Times New Roman" w:cs="Times New Roman"/>
          <w:szCs w:val="22"/>
          <w:lang w:val="lv-LV"/>
        </w:rPr>
        <w:t>subkutāni</w:t>
      </w:r>
      <w:proofErr w:type="spellEnd"/>
      <w:r w:rsidR="00985676" w:rsidRPr="009A53BA">
        <w:rPr>
          <w:rFonts w:ascii="Times New Roman" w:hAnsi="Times New Roman" w:cs="Times New Roman"/>
          <w:szCs w:val="22"/>
          <w:lang w:val="lv-LV"/>
        </w:rPr>
        <w:t xml:space="preserve">. </w:t>
      </w:r>
    </w:p>
    <w:p w14:paraId="05C112F0" w14:textId="544A3C10" w:rsidR="005C4795" w:rsidRPr="009A53BA" w:rsidRDefault="00985676" w:rsidP="009A53BA">
      <w:pPr>
        <w:spacing w:line="240" w:lineRule="auto"/>
        <w:jc w:val="both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Lai gan intravenoza ievadīšana nodrošina tūlītēju terapeitisku iedarbību, tā var radīt CNS kairinājumu. Tādēļ </w:t>
      </w:r>
      <w:bookmarkStart w:id="0" w:name="_Hlk103680427"/>
      <w:r w:rsidR="002332F0">
        <w:rPr>
          <w:rFonts w:ascii="Times New Roman" w:hAnsi="Times New Roman" w:cs="Times New Roman"/>
          <w:szCs w:val="22"/>
          <w:lang w:val="lv-LV"/>
        </w:rPr>
        <w:t>šādas lietošanas gadījumā</w:t>
      </w:r>
      <w:r w:rsidR="00B32D0C">
        <w:rPr>
          <w:rFonts w:ascii="Times New Roman" w:hAnsi="Times New Roman" w:cs="Times New Roman"/>
          <w:szCs w:val="22"/>
          <w:lang w:val="lv-LV"/>
        </w:rPr>
        <w:t>,</w:t>
      </w:r>
      <w:bookmarkEnd w:id="0"/>
      <w:r w:rsidRPr="009A53BA">
        <w:rPr>
          <w:rFonts w:ascii="Times New Roman" w:hAnsi="Times New Roman" w:cs="Times New Roman"/>
          <w:szCs w:val="22"/>
          <w:lang w:val="lv-LV"/>
        </w:rPr>
        <w:t xml:space="preserve"> zāles </w:t>
      </w:r>
      <w:r w:rsidR="00884068" w:rsidRPr="002B2EF7">
        <w:rPr>
          <w:rFonts w:ascii="Times New Roman" w:hAnsi="Times New Roman" w:cs="Times New Roman"/>
          <w:szCs w:val="22"/>
          <w:lang w:val="lv-LV"/>
        </w:rPr>
        <w:t>ievad</w:t>
      </w:r>
      <w:r w:rsidR="00884068">
        <w:rPr>
          <w:rFonts w:ascii="Times New Roman" w:hAnsi="Times New Roman" w:cs="Times New Roman"/>
          <w:szCs w:val="22"/>
          <w:lang w:val="lv-LV"/>
        </w:rPr>
        <w:t>ī</w:t>
      </w:r>
      <w:r w:rsidR="00884068" w:rsidRPr="002B2EF7">
        <w:rPr>
          <w:rFonts w:ascii="Times New Roman" w:hAnsi="Times New Roman" w:cs="Times New Roman"/>
          <w:szCs w:val="22"/>
          <w:lang w:val="lv-LV"/>
        </w:rPr>
        <w:t xml:space="preserve">t </w:t>
      </w:r>
      <w:r w:rsidRPr="009A53BA">
        <w:rPr>
          <w:rFonts w:ascii="Times New Roman" w:hAnsi="Times New Roman" w:cs="Times New Roman"/>
          <w:szCs w:val="22"/>
          <w:lang w:val="lv-LV"/>
        </w:rPr>
        <w:t>lēnām un nepieciešamības gadījumā pārtrau</w:t>
      </w:r>
      <w:r w:rsidR="00884068">
        <w:rPr>
          <w:rFonts w:ascii="Times New Roman" w:hAnsi="Times New Roman" w:cs="Times New Roman"/>
          <w:szCs w:val="22"/>
          <w:lang w:val="lv-LV"/>
        </w:rPr>
        <w:t>k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t ievadīšanu uz </w:t>
      </w:r>
      <w:r w:rsidR="002332F0">
        <w:rPr>
          <w:rFonts w:ascii="Times New Roman" w:hAnsi="Times New Roman" w:cs="Times New Roman"/>
          <w:szCs w:val="22"/>
          <w:lang w:val="lv-LV"/>
        </w:rPr>
        <w:t>dažām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 minūtēm.</w:t>
      </w:r>
    </w:p>
    <w:p w14:paraId="5B002DFE" w14:textId="7C4E67A1" w:rsidR="005C4795" w:rsidRDefault="005C4795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6EA7FB3" w14:textId="77777777" w:rsidR="00F52C27" w:rsidRPr="009A53BA" w:rsidRDefault="00F52C27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0F15AF1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  <w:r w:rsidRPr="009A53BA">
        <w:rPr>
          <w:rFonts w:ascii="Times New Roman" w:hAnsi="Times New Roman" w:cs="Times New Roman"/>
          <w:szCs w:val="22"/>
          <w:u w:val="single"/>
          <w:lang w:val="lv-LV"/>
        </w:rPr>
        <w:lastRenderedPageBreak/>
        <w:t>Īpaši piesardzības pasākumi, kas jāievēro personai, kura lieto veterinārās zāles dzīvnieku ārstēšanai</w:t>
      </w:r>
    </w:p>
    <w:p w14:paraId="363A9815" w14:textId="19B83A31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Hlorfenamīns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var izraisīt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sedāciju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. </w:t>
      </w:r>
      <w:bookmarkStart w:id="1" w:name="_Hlk102048983"/>
      <w:r w:rsidR="00CD0EEB" w:rsidRPr="009A53BA">
        <w:rPr>
          <w:rFonts w:ascii="Times New Roman" w:hAnsi="Times New Roman" w:cs="Times New Roman"/>
          <w:szCs w:val="22"/>
          <w:lang w:val="lv-LV"/>
        </w:rPr>
        <w:t>Nekavējoties nomazgāt izšļakstījumus no ādas un acīm.</w:t>
      </w:r>
      <w:bookmarkEnd w:id="1"/>
      <w:r w:rsidR="00CD0EEB"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r w:rsidR="00F52C27">
        <w:rPr>
          <w:rFonts w:ascii="Times New Roman" w:hAnsi="Times New Roman" w:cs="Times New Roman"/>
          <w:szCs w:val="22"/>
          <w:lang w:val="lv-LV"/>
        </w:rPr>
        <w:t>P</w:t>
      </w:r>
      <w:r w:rsidRPr="009A53BA">
        <w:rPr>
          <w:rFonts w:ascii="Times New Roman" w:hAnsi="Times New Roman" w:cs="Times New Roman"/>
          <w:szCs w:val="22"/>
          <w:lang w:val="lv-LV"/>
        </w:rPr>
        <w:t>iemēro</w:t>
      </w:r>
      <w:r w:rsidR="00F52C27">
        <w:rPr>
          <w:rFonts w:ascii="Times New Roman" w:hAnsi="Times New Roman" w:cs="Times New Roman"/>
          <w:szCs w:val="22"/>
          <w:lang w:val="lv-LV"/>
        </w:rPr>
        <w:t>t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 piesardzības pasākum</w:t>
      </w:r>
      <w:r w:rsidR="00884068">
        <w:rPr>
          <w:rFonts w:ascii="Times New Roman" w:hAnsi="Times New Roman" w:cs="Times New Roman"/>
          <w:szCs w:val="22"/>
          <w:lang w:val="lv-LV"/>
        </w:rPr>
        <w:t>us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, lai novērstu nejaušu šo zāļu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pašinjicēšanu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>. Līdz injekcijas brīdim ieteicams izmantot adatu ar aizsargu. Ja notikusi nejauša (gadījuma rakstura) pašinjicēšana, nekavējoties meklēt medicīnisko palīdzību un uzrādīt lietošanas instrukciju vai iepakojuma marķējumu ārstam. NEVAD</w:t>
      </w:r>
      <w:r w:rsidR="00884068">
        <w:rPr>
          <w:rFonts w:ascii="Times New Roman" w:hAnsi="Times New Roman" w:cs="Times New Roman"/>
          <w:szCs w:val="22"/>
          <w:lang w:val="lv-LV"/>
        </w:rPr>
        <w:t>Ī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T TRANSPORTLĪDZEKLI. </w:t>
      </w:r>
    </w:p>
    <w:p w14:paraId="00E930E1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D04D3A6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4.6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Iespējamās blakusparādības (biežums un bīstamība)</w:t>
      </w:r>
    </w:p>
    <w:p w14:paraId="0D384BB8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43BD8A9A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Hlorfenamīnam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ir vāja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sedatīva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iedarbība.</w:t>
      </w:r>
    </w:p>
    <w:p w14:paraId="597B1358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61A1ED96" w14:textId="4B9D1F26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4.7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Lietošana grūsnības</w:t>
      </w:r>
      <w:r w:rsidR="000F2ED9" w:rsidRPr="009A53BA">
        <w:rPr>
          <w:rFonts w:ascii="Times New Roman" w:hAnsi="Times New Roman" w:cs="Times New Roman"/>
          <w:b/>
          <w:szCs w:val="22"/>
          <w:lang w:val="lv-LV"/>
        </w:rPr>
        <w:t>,</w:t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 xml:space="preserve"> laktācijas </w:t>
      </w:r>
      <w:r w:rsidR="000F2ED9" w:rsidRPr="009A53BA">
        <w:rPr>
          <w:rFonts w:ascii="Times New Roman" w:hAnsi="Times New Roman" w:cs="Times New Roman"/>
          <w:b/>
          <w:color w:val="000000"/>
          <w:szCs w:val="22"/>
          <w:lang w:val="lv-LV"/>
        </w:rPr>
        <w:t xml:space="preserve">vai dēšanas </w:t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laikā</w:t>
      </w:r>
    </w:p>
    <w:p w14:paraId="1C246C6F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C60A91A" w14:textId="65C0DB3B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Nav pierādīts šo zāļu </w:t>
      </w:r>
      <w:r w:rsidR="00884068">
        <w:rPr>
          <w:rFonts w:ascii="Times New Roman" w:hAnsi="Times New Roman" w:cs="Times New Roman"/>
          <w:szCs w:val="22"/>
          <w:lang w:val="lv-LV"/>
        </w:rPr>
        <w:t>drošums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 grūsnības un laktācijas laikā. Lietot tikai pēc ārstējošā veterinārārsta ieguvuma un riska attiecības izvērtēšanas.</w:t>
      </w:r>
    </w:p>
    <w:p w14:paraId="63442EEC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49C903D4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4.8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Mijiedarbība ar citām zālēm un citi mijiedarbības veidi</w:t>
      </w:r>
    </w:p>
    <w:p w14:paraId="3FA4ABAA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B5A75D2" w14:textId="77777777" w:rsidR="005C4795" w:rsidRPr="009A53BA" w:rsidRDefault="00985676" w:rsidP="009A53BA">
      <w:pPr>
        <w:spacing w:line="240" w:lineRule="auto"/>
        <w:jc w:val="both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Vienlaicīga citu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antihistamīna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līdzekļu vai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barbiturātu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lietošana var pastiprināt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sedatīvo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iedarbību.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Antihistamīna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līdzekļu lietošana var maskēt dažu antibakteriālo līdzekļu (t.i.,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aminoglikozīdu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un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makrolīdu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) radītās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ototoksicitātes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agrīnās pazīmes, kā arī saīsināt iekšķīgi lietojamo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antikoagulantu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iedarbības laiku.</w:t>
      </w:r>
    </w:p>
    <w:p w14:paraId="4866C3B1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96E454E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4.9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Devas un lietošanas veids</w:t>
      </w:r>
    </w:p>
    <w:p w14:paraId="06657950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DEB9979" w14:textId="57171B0E" w:rsidR="005C4795" w:rsidRPr="009A53BA" w:rsidRDefault="00985676" w:rsidP="002332F0">
      <w:pPr>
        <w:tabs>
          <w:tab w:val="clear" w:pos="567"/>
          <w:tab w:val="left" w:pos="708"/>
        </w:tabs>
        <w:suppressAutoHyphens/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Intramuskulārai vai intravenozai </w:t>
      </w:r>
      <w:r w:rsidR="00884068">
        <w:rPr>
          <w:rFonts w:ascii="Times New Roman" w:hAnsi="Times New Roman" w:cs="Times New Roman"/>
          <w:szCs w:val="22"/>
          <w:lang w:val="lv-LV"/>
        </w:rPr>
        <w:t>lietošanai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. </w:t>
      </w:r>
    </w:p>
    <w:p w14:paraId="526BA5A0" w14:textId="69FBC03A" w:rsidR="005C4795" w:rsidRPr="009A53BA" w:rsidRDefault="00985676" w:rsidP="002332F0">
      <w:pPr>
        <w:tabs>
          <w:tab w:val="clear" w:pos="567"/>
          <w:tab w:val="left" w:pos="708"/>
        </w:tabs>
        <w:suppressAutoHyphens/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Intravenoz</w:t>
      </w:r>
      <w:r w:rsidR="00884068">
        <w:rPr>
          <w:rFonts w:ascii="Times New Roman" w:hAnsi="Times New Roman" w:cs="Times New Roman"/>
          <w:szCs w:val="22"/>
          <w:lang w:val="lv-LV"/>
        </w:rPr>
        <w:t>u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 injekcij</w:t>
      </w:r>
      <w:r w:rsidR="00884068">
        <w:rPr>
          <w:rFonts w:ascii="Times New Roman" w:hAnsi="Times New Roman" w:cs="Times New Roman"/>
          <w:szCs w:val="22"/>
          <w:lang w:val="lv-LV"/>
        </w:rPr>
        <w:t>u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 vei</w:t>
      </w:r>
      <w:r w:rsidR="00884068">
        <w:rPr>
          <w:rFonts w:ascii="Times New Roman" w:hAnsi="Times New Roman" w:cs="Times New Roman"/>
          <w:szCs w:val="22"/>
          <w:lang w:val="lv-LV"/>
        </w:rPr>
        <w:t>kt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 lēnām un nepieciešamības gadījumā pārtrau</w:t>
      </w:r>
      <w:r w:rsidR="00884068">
        <w:rPr>
          <w:rFonts w:ascii="Times New Roman" w:hAnsi="Times New Roman" w:cs="Times New Roman"/>
          <w:szCs w:val="22"/>
          <w:lang w:val="lv-LV"/>
        </w:rPr>
        <w:t>kt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 uz dažām minūtēm (skatīt 4.5. apakšpunktu).</w:t>
      </w:r>
    </w:p>
    <w:p w14:paraId="06BDCFE8" w14:textId="77777777" w:rsidR="005C4795" w:rsidRPr="009A53BA" w:rsidRDefault="005C4795" w:rsidP="002332F0">
      <w:pPr>
        <w:tabs>
          <w:tab w:val="clear" w:pos="567"/>
          <w:tab w:val="left" w:pos="708"/>
        </w:tabs>
        <w:suppressAutoHyphens/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ADDB685" w14:textId="566DC525" w:rsidR="005C4795" w:rsidRPr="009A53BA" w:rsidRDefault="00985676" w:rsidP="002332F0">
      <w:pPr>
        <w:tabs>
          <w:tab w:val="clear" w:pos="567"/>
          <w:tab w:val="left" w:pos="708"/>
        </w:tabs>
        <w:suppressAutoHyphens/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  <w:r w:rsidRPr="009A53BA">
        <w:rPr>
          <w:rFonts w:ascii="Times New Roman" w:hAnsi="Times New Roman" w:cs="Times New Roman"/>
          <w:szCs w:val="22"/>
          <w:u w:val="single"/>
          <w:lang w:val="lv-LV"/>
        </w:rPr>
        <w:t>Pieauguši</w:t>
      </w:r>
      <w:r w:rsidR="00F52C27">
        <w:rPr>
          <w:rFonts w:ascii="Times New Roman" w:hAnsi="Times New Roman" w:cs="Times New Roman"/>
          <w:szCs w:val="22"/>
          <w:u w:val="single"/>
          <w:lang w:val="lv-LV"/>
        </w:rPr>
        <w:t>em</w:t>
      </w:r>
      <w:r w:rsidRPr="009A53BA">
        <w:rPr>
          <w:rFonts w:ascii="Times New Roman" w:hAnsi="Times New Roman" w:cs="Times New Roman"/>
          <w:szCs w:val="22"/>
          <w:u w:val="single"/>
          <w:lang w:val="lv-LV"/>
        </w:rPr>
        <w:t xml:space="preserve"> dzīvnieki</w:t>
      </w:r>
      <w:r w:rsidR="00F52C27">
        <w:rPr>
          <w:rFonts w:ascii="Times New Roman" w:hAnsi="Times New Roman" w:cs="Times New Roman"/>
          <w:szCs w:val="22"/>
          <w:u w:val="single"/>
          <w:lang w:val="lv-LV"/>
        </w:rPr>
        <w:t>em</w:t>
      </w:r>
      <w:r w:rsidR="00884068">
        <w:rPr>
          <w:rFonts w:ascii="Times New Roman" w:hAnsi="Times New Roman" w:cs="Times New Roman"/>
          <w:szCs w:val="22"/>
          <w:u w:val="single"/>
          <w:lang w:val="lv-LV"/>
        </w:rPr>
        <w:t>:</w:t>
      </w:r>
    </w:p>
    <w:p w14:paraId="66AFF1D8" w14:textId="77777777" w:rsidR="005C4795" w:rsidRPr="009A53BA" w:rsidRDefault="00985676" w:rsidP="00257E55">
      <w:pPr>
        <w:tabs>
          <w:tab w:val="clear" w:pos="567"/>
          <w:tab w:val="left" w:pos="708"/>
        </w:tabs>
        <w:suppressAutoHyphens/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0,5 mg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maleāta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/ķermeņa </w:t>
      </w:r>
      <w:r w:rsidR="000D16E7" w:rsidRPr="009A53BA">
        <w:rPr>
          <w:rFonts w:ascii="Times New Roman" w:hAnsi="Times New Roman" w:cs="Times New Roman"/>
          <w:szCs w:val="22"/>
          <w:lang w:val="lv-LV"/>
        </w:rPr>
        <w:t xml:space="preserve">svara 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kg (atbilst 5 ml/100 kg ķermeņa </w:t>
      </w:r>
      <w:r w:rsidR="000D16E7" w:rsidRPr="009A53BA">
        <w:rPr>
          <w:rFonts w:ascii="Times New Roman" w:hAnsi="Times New Roman" w:cs="Times New Roman"/>
          <w:szCs w:val="22"/>
          <w:lang w:val="lv-LV"/>
        </w:rPr>
        <w:t>svara</w:t>
      </w:r>
      <w:r w:rsidRPr="009A53BA">
        <w:rPr>
          <w:rFonts w:ascii="Times New Roman" w:hAnsi="Times New Roman" w:cs="Times New Roman"/>
          <w:szCs w:val="22"/>
          <w:lang w:val="lv-LV"/>
        </w:rPr>
        <w:t>) vienu reizi dienā trīs dienas pēc kārtas.</w:t>
      </w:r>
    </w:p>
    <w:p w14:paraId="06DDCA08" w14:textId="77777777" w:rsidR="005C4795" w:rsidRPr="009A53BA" w:rsidRDefault="005C4795">
      <w:pPr>
        <w:tabs>
          <w:tab w:val="clear" w:pos="567"/>
          <w:tab w:val="left" w:pos="708"/>
        </w:tabs>
        <w:suppressAutoHyphens/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</w:p>
    <w:p w14:paraId="059C513A" w14:textId="0FD1DDE6" w:rsidR="005C4795" w:rsidRPr="009A53BA" w:rsidRDefault="00985676">
      <w:pPr>
        <w:tabs>
          <w:tab w:val="clear" w:pos="567"/>
          <w:tab w:val="left" w:pos="708"/>
        </w:tabs>
        <w:suppressAutoHyphens/>
        <w:spacing w:line="240" w:lineRule="auto"/>
        <w:rPr>
          <w:rFonts w:ascii="Times New Roman" w:hAnsi="Times New Roman" w:cs="Times New Roman"/>
          <w:szCs w:val="22"/>
          <w:u w:val="single"/>
          <w:lang w:val="lv-LV"/>
        </w:rPr>
      </w:pPr>
      <w:r w:rsidRPr="009A53BA">
        <w:rPr>
          <w:rFonts w:ascii="Times New Roman" w:hAnsi="Times New Roman" w:cs="Times New Roman"/>
          <w:szCs w:val="22"/>
          <w:u w:val="single"/>
          <w:lang w:val="lv-LV"/>
        </w:rPr>
        <w:t>Teļi</w:t>
      </w:r>
      <w:r w:rsidR="00F52C27">
        <w:rPr>
          <w:rFonts w:ascii="Times New Roman" w:hAnsi="Times New Roman" w:cs="Times New Roman"/>
          <w:szCs w:val="22"/>
          <w:u w:val="single"/>
          <w:lang w:val="lv-LV"/>
        </w:rPr>
        <w:t>em</w:t>
      </w:r>
      <w:r w:rsidR="00884068">
        <w:rPr>
          <w:rFonts w:ascii="Times New Roman" w:hAnsi="Times New Roman" w:cs="Times New Roman"/>
          <w:szCs w:val="22"/>
          <w:u w:val="single"/>
          <w:lang w:val="lv-LV"/>
        </w:rPr>
        <w:t>:</w:t>
      </w:r>
    </w:p>
    <w:p w14:paraId="58E4DA03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1 mg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maleāta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/ķermeņa </w:t>
      </w:r>
      <w:r w:rsidR="000D16E7" w:rsidRPr="009A53BA">
        <w:rPr>
          <w:rFonts w:ascii="Times New Roman" w:hAnsi="Times New Roman" w:cs="Times New Roman"/>
          <w:szCs w:val="22"/>
          <w:lang w:val="lv-LV"/>
        </w:rPr>
        <w:t xml:space="preserve">svara 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kg (atbilst 10 ml/100 kg ķermeņa </w:t>
      </w:r>
      <w:r w:rsidR="000D16E7" w:rsidRPr="009A53BA">
        <w:rPr>
          <w:rFonts w:ascii="Times New Roman" w:hAnsi="Times New Roman" w:cs="Times New Roman"/>
          <w:szCs w:val="22"/>
          <w:lang w:val="lv-LV"/>
        </w:rPr>
        <w:t>svara</w:t>
      </w:r>
      <w:r w:rsidRPr="009A53BA">
        <w:rPr>
          <w:rFonts w:ascii="Times New Roman" w:hAnsi="Times New Roman" w:cs="Times New Roman"/>
          <w:szCs w:val="22"/>
          <w:lang w:val="lv-LV"/>
        </w:rPr>
        <w:t>) vienu reizi dienā trīs dienas pēc kārtas.</w:t>
      </w:r>
    </w:p>
    <w:p w14:paraId="5E8C8AEA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0BA2D71" w14:textId="38F1E60B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4.10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 xml:space="preserve">Pārdozēšana (simptomi, rīcība ārkārtas situācijā, </w:t>
      </w:r>
      <w:proofErr w:type="spellStart"/>
      <w:r w:rsidR="00985676" w:rsidRPr="009A53BA">
        <w:rPr>
          <w:rFonts w:ascii="Times New Roman" w:hAnsi="Times New Roman" w:cs="Times New Roman"/>
          <w:b/>
          <w:szCs w:val="22"/>
          <w:lang w:val="lv-LV"/>
        </w:rPr>
        <w:t>antidoti</w:t>
      </w:r>
      <w:proofErr w:type="spellEnd"/>
      <w:r w:rsidR="00985676" w:rsidRPr="009A53BA">
        <w:rPr>
          <w:rFonts w:ascii="Times New Roman" w:hAnsi="Times New Roman" w:cs="Times New Roman"/>
          <w:b/>
          <w:szCs w:val="22"/>
          <w:lang w:val="lv-LV"/>
        </w:rPr>
        <w:t>)</w:t>
      </w:r>
      <w:r w:rsidR="000F2ED9" w:rsidRPr="009A53BA">
        <w:rPr>
          <w:rFonts w:ascii="Times New Roman" w:hAnsi="Times New Roman" w:cs="Times New Roman"/>
          <w:b/>
          <w:szCs w:val="22"/>
          <w:lang w:val="lv-LV"/>
        </w:rPr>
        <w:t>, ja nepieciešams</w:t>
      </w:r>
    </w:p>
    <w:p w14:paraId="116E1A40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47F1C6B1" w14:textId="77777777" w:rsidR="005C4795" w:rsidRPr="009A53BA" w:rsidRDefault="00985676" w:rsidP="009A53BA">
      <w:pPr>
        <w:spacing w:line="240" w:lineRule="auto"/>
        <w:jc w:val="both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Devām, kas līdz četrām reizēm pārsniedza terapeitisko devu, bija laba panesamība. Ļoti retos gadījumos injekcijas vietā tika novērotas lokālas reakcijas. Visas reakcijas bija pārejošas un izzuda bez ārstēšanas.</w:t>
      </w:r>
    </w:p>
    <w:p w14:paraId="756E1C9F" w14:textId="77777777" w:rsidR="00996DD3" w:rsidRPr="009A53BA" w:rsidRDefault="00996DD3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C4D07C2" w14:textId="34327380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4.11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Ierobežojumu period</w:t>
      </w:r>
      <w:r w:rsidR="000F2ED9" w:rsidRPr="009A53BA">
        <w:rPr>
          <w:rFonts w:ascii="Times New Roman" w:hAnsi="Times New Roman" w:cs="Times New Roman"/>
          <w:b/>
          <w:szCs w:val="22"/>
          <w:lang w:val="lv-LV"/>
        </w:rPr>
        <w:t>s(-</w:t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i</w:t>
      </w:r>
      <w:r w:rsidR="000F2ED9" w:rsidRPr="009A53BA">
        <w:rPr>
          <w:rFonts w:ascii="Times New Roman" w:hAnsi="Times New Roman" w:cs="Times New Roman"/>
          <w:b/>
          <w:szCs w:val="22"/>
          <w:lang w:val="lv-LV"/>
        </w:rPr>
        <w:t>)</w:t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 xml:space="preserve"> dzīvnieku produkcijas izmantošanā</w:t>
      </w:r>
    </w:p>
    <w:p w14:paraId="522F6B07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029C550" w14:textId="013A6BCB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Gaļai un blakusproduktiem: 1 diena</w:t>
      </w:r>
      <w:r w:rsidR="00F52C27">
        <w:rPr>
          <w:rFonts w:ascii="Times New Roman" w:hAnsi="Times New Roman" w:cs="Times New Roman"/>
          <w:szCs w:val="22"/>
          <w:lang w:val="lv-LV"/>
        </w:rPr>
        <w:t>.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</w:p>
    <w:p w14:paraId="5D833267" w14:textId="3945F6CE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Pienam: 12 stundas</w:t>
      </w:r>
      <w:r w:rsidR="00F52C27">
        <w:rPr>
          <w:rFonts w:ascii="Times New Roman" w:hAnsi="Times New Roman" w:cs="Times New Roman"/>
          <w:szCs w:val="22"/>
          <w:lang w:val="lv-LV"/>
        </w:rPr>
        <w:t>.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</w:p>
    <w:p w14:paraId="4E229706" w14:textId="77777777" w:rsidR="002332F0" w:rsidRPr="009A53BA" w:rsidRDefault="002332F0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99FF182" w14:textId="77777777" w:rsidR="000D16E7" w:rsidRPr="009A53BA" w:rsidRDefault="000D16E7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800D0D5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5.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FARMAKOLOĢISKĀS ĪPAŠĪBAS</w:t>
      </w:r>
    </w:p>
    <w:p w14:paraId="42585598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51D8765E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Farmakoterapeitiskā grupa: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antihistamīna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līdzekļi sistēmiskai lietošanai.</w:t>
      </w:r>
    </w:p>
    <w:p w14:paraId="7841DF4B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ATĶ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vet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kods: QR06AB04</w:t>
      </w:r>
      <w:r w:rsidR="000D16E7" w:rsidRPr="009A53BA">
        <w:rPr>
          <w:rFonts w:ascii="Times New Roman" w:hAnsi="Times New Roman" w:cs="Times New Roman"/>
          <w:szCs w:val="22"/>
          <w:lang w:val="lv-LV"/>
        </w:rPr>
        <w:t>.</w:t>
      </w:r>
    </w:p>
    <w:p w14:paraId="122036B6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8DF9E55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5.1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Farmakodinamiskās īpašības</w:t>
      </w:r>
    </w:p>
    <w:p w14:paraId="35CA2841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7770561" w14:textId="77777777" w:rsidR="005C4795" w:rsidRPr="009A53BA" w:rsidRDefault="00985676" w:rsidP="002332F0">
      <w:pPr>
        <w:spacing w:line="240" w:lineRule="auto"/>
        <w:jc w:val="both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maleāts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ir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racēmisks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savienojums, kas pēc klasifikācijas ir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alkilamīnu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grupas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antihistamīna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līdzeklis un kas savu ķīmisko īpašību dēļ spēj saistīties ar H1 receptoru uz šūnas </w:t>
      </w:r>
      <w:r w:rsidRPr="009A53BA">
        <w:rPr>
          <w:rFonts w:ascii="Times New Roman" w:hAnsi="Times New Roman" w:cs="Times New Roman"/>
          <w:szCs w:val="22"/>
          <w:lang w:val="lv-LV"/>
        </w:rPr>
        <w:lastRenderedPageBreak/>
        <w:t xml:space="preserve">membrānas un tādējādi konkurēt ar dabiskajiem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endogēnajiem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ligandiem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par vienu un to pašu saistīšanās vietu. Tieši pati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maleāta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piesaistīšanās receptoram neierosina farmakoloģisko atbildes reakciju, bet būtiski samazina histamīna radītās reakcijas. Pamatojoties uz šiem novērojumiem,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maleāts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darbojas kā tiešais vai atgriezeniski konkurējošais receptoru antagonists.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maleāts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neinhibē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histamīna sintēzi vai atbrīvošanos.</w:t>
      </w:r>
    </w:p>
    <w:p w14:paraId="1C1623D2" w14:textId="77777777" w:rsidR="005C4795" w:rsidRPr="009A53BA" w:rsidRDefault="005C4795" w:rsidP="009A53BA">
      <w:pPr>
        <w:spacing w:line="240" w:lineRule="auto"/>
        <w:jc w:val="both"/>
        <w:rPr>
          <w:rFonts w:ascii="Times New Roman" w:hAnsi="Times New Roman" w:cs="Times New Roman"/>
          <w:szCs w:val="22"/>
          <w:lang w:val="lv-LV"/>
        </w:rPr>
      </w:pPr>
    </w:p>
    <w:p w14:paraId="1868F101" w14:textId="77777777" w:rsidR="005C4795" w:rsidRPr="009A53BA" w:rsidRDefault="00956768" w:rsidP="009A53BA">
      <w:pPr>
        <w:spacing w:line="240" w:lineRule="auto"/>
        <w:jc w:val="both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5.2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Farmakokinētiskie dati</w:t>
      </w:r>
    </w:p>
    <w:p w14:paraId="0CF2724E" w14:textId="77777777" w:rsidR="005C4795" w:rsidRPr="009A53BA" w:rsidRDefault="005C4795" w:rsidP="009A53BA">
      <w:pPr>
        <w:spacing w:line="240" w:lineRule="auto"/>
        <w:jc w:val="both"/>
        <w:rPr>
          <w:rFonts w:ascii="Times New Roman" w:hAnsi="Times New Roman" w:cs="Times New Roman"/>
          <w:szCs w:val="22"/>
          <w:lang w:val="lv-LV"/>
        </w:rPr>
      </w:pPr>
    </w:p>
    <w:p w14:paraId="4C17E3FD" w14:textId="77777777" w:rsidR="005C4795" w:rsidRPr="009A53BA" w:rsidRDefault="00985676" w:rsidP="009A53BA">
      <w:pPr>
        <w:spacing w:line="240" w:lineRule="auto"/>
        <w:jc w:val="both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24 stundas pēc intravenozas ievadīšanas zāļu koncentrācija plazmā samazinās no 36 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ng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>/ml līdz noteikšanas metodes uztveršanas robežai (1 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ng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>/ml). Aprēķinātais eliminācijas pusperiods (T</w:t>
      </w:r>
      <w:r w:rsidRPr="009A53BA">
        <w:rPr>
          <w:rFonts w:ascii="Times New Roman" w:hAnsi="Times New Roman" w:cs="Times New Roman"/>
          <w:szCs w:val="22"/>
          <w:vertAlign w:val="subscript"/>
          <w:lang w:val="lv-LV"/>
        </w:rPr>
        <w:t>1/2ß</w:t>
      </w:r>
      <w:r w:rsidRPr="009A53BA">
        <w:rPr>
          <w:rFonts w:ascii="Times New Roman" w:hAnsi="Times New Roman" w:cs="Times New Roman"/>
          <w:szCs w:val="22"/>
          <w:lang w:val="lv-LV"/>
        </w:rPr>
        <w:t>) ir 2,11 stundas, vidējais saglabāšanās laiks organismā (</w:t>
      </w:r>
      <w:proofErr w:type="spellStart"/>
      <w:r w:rsidRPr="009A53BA">
        <w:rPr>
          <w:rFonts w:ascii="Times New Roman" w:hAnsi="Times New Roman" w:cs="Times New Roman"/>
          <w:i/>
          <w:szCs w:val="22"/>
          <w:lang w:val="lv-LV"/>
        </w:rPr>
        <w:t>mean</w:t>
      </w:r>
      <w:proofErr w:type="spellEnd"/>
      <w:r w:rsidRPr="009A53BA">
        <w:rPr>
          <w:rFonts w:ascii="Times New Roman" w:hAnsi="Times New Roman" w:cs="Times New Roman"/>
          <w:i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i/>
          <w:szCs w:val="22"/>
          <w:lang w:val="lv-LV"/>
        </w:rPr>
        <w:t>residence</w:t>
      </w:r>
      <w:proofErr w:type="spellEnd"/>
      <w:r w:rsidRPr="009A53BA">
        <w:rPr>
          <w:rFonts w:ascii="Times New Roman" w:hAnsi="Times New Roman" w:cs="Times New Roman"/>
          <w:i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i/>
          <w:szCs w:val="22"/>
          <w:lang w:val="lv-LV"/>
        </w:rPr>
        <w:t>time</w:t>
      </w:r>
      <w:proofErr w:type="spellEnd"/>
      <w:r w:rsidRPr="009A53BA">
        <w:rPr>
          <w:rFonts w:ascii="Times New Roman" w:hAnsi="Times New Roman" w:cs="Times New Roman"/>
          <w:i/>
          <w:szCs w:val="22"/>
          <w:lang w:val="lv-LV"/>
        </w:rPr>
        <w:t xml:space="preserve"> – 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MRT) ir 2,35 stundas, kopējais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klīrenss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(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Cl</w:t>
      </w:r>
      <w:r w:rsidRPr="009A53BA">
        <w:rPr>
          <w:rFonts w:ascii="Times New Roman" w:hAnsi="Times New Roman" w:cs="Times New Roman"/>
          <w:szCs w:val="22"/>
          <w:vertAlign w:val="subscript"/>
          <w:lang w:val="lv-LV"/>
        </w:rPr>
        <w:t>B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>) – 1,315 l/kg/h un izkliedes tilpums (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Vd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>) – nedaudz lielāks par 3 l/kg. Pēc intramuskulāras ievadīšanas maksimālā koncentrācija (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C</w:t>
      </w:r>
      <w:r w:rsidRPr="009A53BA">
        <w:rPr>
          <w:rFonts w:ascii="Times New Roman" w:hAnsi="Times New Roman" w:cs="Times New Roman"/>
          <w:szCs w:val="22"/>
          <w:vertAlign w:val="subscript"/>
          <w:lang w:val="lv-LV"/>
        </w:rPr>
        <w:t>max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= 142 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ng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>/ml) tiek sasniegta pēc 28 minūtēm (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T</w:t>
      </w:r>
      <w:r w:rsidRPr="009A53BA">
        <w:rPr>
          <w:rFonts w:ascii="Times New Roman" w:hAnsi="Times New Roman" w:cs="Times New Roman"/>
          <w:szCs w:val="22"/>
          <w:vertAlign w:val="subscript"/>
          <w:lang w:val="lv-LV"/>
        </w:rPr>
        <w:t>max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>). Pēc tam koncentrācija plazmā strauji samazinās un pēc 2 un 8 stundām sasniedz attiecīgi 60 </w:t>
      </w:r>
      <w:proofErr w:type="spellStart"/>
      <w:r w:rsidRPr="002332F0">
        <w:rPr>
          <w:rFonts w:ascii="Times New Roman" w:hAnsi="Times New Roman" w:cs="Times New Roman"/>
          <w:szCs w:val="22"/>
          <w:lang w:val="lv-LV"/>
        </w:rPr>
        <w:t>μg</w:t>
      </w:r>
      <w:proofErr w:type="spellEnd"/>
      <w:r w:rsidRPr="002332F0">
        <w:rPr>
          <w:rFonts w:ascii="Times New Roman" w:hAnsi="Times New Roman" w:cs="Times New Roman"/>
          <w:szCs w:val="22"/>
          <w:lang w:val="lv-LV"/>
        </w:rPr>
        <w:t>/kg un 12 </w:t>
      </w:r>
      <w:proofErr w:type="spellStart"/>
      <w:r w:rsidRPr="002332F0">
        <w:rPr>
          <w:rFonts w:ascii="Times New Roman" w:hAnsi="Times New Roman" w:cs="Times New Roman"/>
          <w:szCs w:val="22"/>
          <w:lang w:val="lv-LV"/>
        </w:rPr>
        <w:t>μg</w:t>
      </w:r>
      <w:proofErr w:type="spellEnd"/>
      <w:r w:rsidRPr="002332F0">
        <w:rPr>
          <w:rFonts w:ascii="Times New Roman" w:hAnsi="Times New Roman" w:cs="Times New Roman"/>
          <w:szCs w:val="22"/>
          <w:lang w:val="lv-LV"/>
        </w:rPr>
        <w:t>/kg, bet 24 stundas p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ēc ārstēšanas tā ir mazāka par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kvantifikācijas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robežu (1 </w:t>
      </w:r>
      <w:proofErr w:type="spellStart"/>
      <w:r w:rsidRPr="002332F0">
        <w:rPr>
          <w:rFonts w:ascii="Times New Roman" w:hAnsi="Times New Roman" w:cs="Times New Roman"/>
          <w:szCs w:val="22"/>
          <w:lang w:val="lv-LV"/>
        </w:rPr>
        <w:t>μg</w:t>
      </w:r>
      <w:proofErr w:type="spellEnd"/>
      <w:r w:rsidRPr="002332F0">
        <w:rPr>
          <w:rFonts w:ascii="Times New Roman" w:hAnsi="Times New Roman" w:cs="Times New Roman"/>
          <w:szCs w:val="22"/>
          <w:lang w:val="lv-LV"/>
        </w:rPr>
        <w:t>/kg).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 MRT un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biopieejamība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ir attiecīgi 3,58 stundas un 100%.</w:t>
      </w:r>
    </w:p>
    <w:p w14:paraId="4B924FF4" w14:textId="77777777" w:rsidR="005C4795" w:rsidRPr="009A53BA" w:rsidRDefault="00985676" w:rsidP="009A53BA">
      <w:pPr>
        <w:spacing w:line="240" w:lineRule="auto"/>
        <w:jc w:val="both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Savienojums un tā metabolīti gandrīz pilnībā izdalās 24 stundu laikā galvenokārt caur nierēm ar urīnu – nelielā daudzumā neizmainītā veidā, bet pārsvarā kā metabolīti.</w:t>
      </w:r>
    </w:p>
    <w:p w14:paraId="471224D3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E1B7CAF" w14:textId="77777777" w:rsidR="00996DD3" w:rsidRPr="009A53BA" w:rsidRDefault="00996DD3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F8B0ABC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6.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FARMACEITISKĀ INFORMĀCIJA</w:t>
      </w:r>
    </w:p>
    <w:p w14:paraId="34279AE0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6E6D4F46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6.1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Palīgvielu saraksts</w:t>
      </w:r>
    </w:p>
    <w:p w14:paraId="728730B4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47646865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Metilparahidroksibenzoāts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(E218)</w:t>
      </w:r>
    </w:p>
    <w:p w14:paraId="7205C008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Propilparahidroksibenzoāts</w:t>
      </w:r>
      <w:proofErr w:type="spellEnd"/>
    </w:p>
    <w:p w14:paraId="61A4EED6" w14:textId="7A0A631C" w:rsidR="00A24CE2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Nātrija </w:t>
      </w:r>
      <w:proofErr w:type="spellStart"/>
      <w:r w:rsidR="00257E55" w:rsidRPr="009A53BA">
        <w:rPr>
          <w:rFonts w:ascii="Times New Roman" w:hAnsi="Times New Roman" w:cs="Times New Roman"/>
          <w:szCs w:val="22"/>
          <w:lang w:val="lv-LV"/>
        </w:rPr>
        <w:t>hidrogēnfosfāta</w:t>
      </w:r>
      <w:proofErr w:type="spellEnd"/>
      <w:r w:rsidR="00257E55" w:rsidRPr="00257E55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dodekahidrāts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</w:p>
    <w:p w14:paraId="280F45D5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Nātrija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dihidrogēnfosfāta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dihidrāts</w:t>
      </w:r>
      <w:proofErr w:type="spellEnd"/>
    </w:p>
    <w:p w14:paraId="6CF6D35E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Ūdens injekcijām</w:t>
      </w:r>
    </w:p>
    <w:p w14:paraId="5417B8EE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D1E5F00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6.2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Būtiska nesaderība</w:t>
      </w:r>
    </w:p>
    <w:p w14:paraId="012F42FE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D29C266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Tā kā nav veikti saderības pētījumi, šīs veterinārās zāles nedrīkst lietot maisījumā ar citām zālēm.</w:t>
      </w:r>
    </w:p>
    <w:p w14:paraId="7CED1F8A" w14:textId="77777777" w:rsidR="00996DD3" w:rsidRPr="009A53BA" w:rsidRDefault="00996DD3" w:rsidP="009A53BA">
      <w:pPr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2FDFEB1E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6.3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Derīguma termiņš</w:t>
      </w:r>
    </w:p>
    <w:p w14:paraId="3C4BACA6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E2B3279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Veterināro zāļu derīguma termiņš izplatīšanai paredzētā iepakojumā: 2 gadi.</w:t>
      </w:r>
    </w:p>
    <w:p w14:paraId="1A3C2174" w14:textId="77A3C3A9" w:rsidR="005C4795" w:rsidRPr="009A53BA" w:rsidRDefault="00985676" w:rsidP="009A53BA">
      <w:pPr>
        <w:spacing w:line="240" w:lineRule="auto"/>
        <w:ind w:right="-318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Derīguma termiņš pēc </w:t>
      </w:r>
      <w:r w:rsidR="0071476B">
        <w:rPr>
          <w:rFonts w:ascii="Times New Roman" w:hAnsi="Times New Roman" w:cs="Times New Roman"/>
          <w:szCs w:val="22"/>
          <w:lang w:val="lv-LV"/>
        </w:rPr>
        <w:t xml:space="preserve">pirmās 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tiešā iepakojuma atvēršanas: 56 dienas. </w:t>
      </w:r>
    </w:p>
    <w:p w14:paraId="0FDC1C49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A35D864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6.4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Īpaši uzglabāšanas nosacījumi</w:t>
      </w:r>
    </w:p>
    <w:p w14:paraId="4EBB2CD3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DB372D7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Šīm veterinārajām zālēm nav nepieciešama īpaša uzglabāšanas temperatūra.</w:t>
      </w:r>
    </w:p>
    <w:p w14:paraId="68499A4A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Uzglabāt oriģinālā iepakojumā, lai pasargātu no gaismas.</w:t>
      </w:r>
    </w:p>
    <w:p w14:paraId="6AB0F035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20FC0D9A" w14:textId="77777777" w:rsidR="005C4795" w:rsidRPr="009A53BA" w:rsidRDefault="00956768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6.5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Tiešā iepakojuma veids un saturs</w:t>
      </w:r>
    </w:p>
    <w:p w14:paraId="00A29974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8E595B5" w14:textId="77777777" w:rsidR="005C4795" w:rsidRPr="009A53BA" w:rsidRDefault="00985676" w:rsidP="002332F0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ind w:left="10" w:hanging="10"/>
        <w:jc w:val="both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Caurspīdīgi II tipa stikla flakoni un polipropilēna flakoni, kas satur 100 ml vai 250 ml, noslēgti ar pārklātu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brombutila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gumijas aizbāzni un alumīnija vāciņu un ievietoti kartona </w:t>
      </w:r>
      <w:r w:rsidR="000D16E7" w:rsidRPr="009A53BA">
        <w:rPr>
          <w:rFonts w:ascii="Times New Roman" w:hAnsi="Times New Roman" w:cs="Times New Roman"/>
          <w:szCs w:val="22"/>
          <w:lang w:val="lv-LV"/>
        </w:rPr>
        <w:t>kastītē</w:t>
      </w:r>
      <w:r w:rsidRPr="009A53BA">
        <w:rPr>
          <w:rFonts w:ascii="Times New Roman" w:hAnsi="Times New Roman" w:cs="Times New Roman"/>
          <w:szCs w:val="22"/>
          <w:lang w:val="lv-LV"/>
        </w:rPr>
        <w:t xml:space="preserve">. </w:t>
      </w:r>
    </w:p>
    <w:p w14:paraId="1AAD4528" w14:textId="2ECADC08" w:rsidR="005C4795" w:rsidRDefault="00985676" w:rsidP="002332F0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ind w:left="10" w:hanging="10"/>
        <w:jc w:val="both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Ne visi iepakojuma izmēri var tikt izplatīti.</w:t>
      </w:r>
    </w:p>
    <w:p w14:paraId="3767F47A" w14:textId="77777777" w:rsidR="002332F0" w:rsidRPr="009A53BA" w:rsidRDefault="002332F0" w:rsidP="002332F0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ind w:left="10" w:hanging="10"/>
        <w:jc w:val="both"/>
        <w:rPr>
          <w:rFonts w:ascii="Times New Roman" w:hAnsi="Times New Roman" w:cs="Times New Roman"/>
          <w:szCs w:val="22"/>
          <w:lang w:val="lv-LV"/>
        </w:rPr>
      </w:pPr>
    </w:p>
    <w:p w14:paraId="0442CD0D" w14:textId="77777777" w:rsidR="005C4795" w:rsidRPr="009A53BA" w:rsidRDefault="00956768" w:rsidP="009A53BA">
      <w:pPr>
        <w:pStyle w:val="Heading3"/>
        <w:spacing w:before="0" w:after="0" w:line="240" w:lineRule="auto"/>
        <w:rPr>
          <w:rFonts w:ascii="Times New Roman" w:hAnsi="Times New Roman" w:cs="Times New Roman"/>
          <w:bCs w:val="0"/>
          <w:sz w:val="22"/>
          <w:szCs w:val="22"/>
          <w:lang w:val="lv-LV"/>
        </w:rPr>
      </w:pPr>
      <w:r w:rsidRPr="009A53BA">
        <w:rPr>
          <w:rFonts w:ascii="Times New Roman" w:hAnsi="Times New Roman" w:cs="Times New Roman"/>
          <w:bCs w:val="0"/>
          <w:sz w:val="22"/>
          <w:szCs w:val="22"/>
          <w:lang w:val="lv-LV"/>
        </w:rPr>
        <w:t>6.6</w:t>
      </w:r>
      <w:r w:rsidRPr="009A53BA">
        <w:rPr>
          <w:rFonts w:ascii="Times New Roman" w:hAnsi="Times New Roman" w:cs="Times New Roman"/>
          <w:bCs w:val="0"/>
          <w:sz w:val="22"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Cs w:val="0"/>
          <w:sz w:val="22"/>
          <w:szCs w:val="22"/>
          <w:lang w:val="lv-LV"/>
        </w:rPr>
        <w:t>Īpaši norādījumi neizlietotu veterināro zāļu vai to atkritumu iznīcināšanai</w:t>
      </w:r>
    </w:p>
    <w:p w14:paraId="11C12412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99190CB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Jebkuras neizlietotas veterinārās zāles vai to atkritumi jāiznīcina saskaņā ar nacionālajiem tiesību aktiem.</w:t>
      </w:r>
    </w:p>
    <w:p w14:paraId="206C95D0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00BC0CC8" w14:textId="77777777" w:rsidR="000D16E7" w:rsidRPr="009A53BA" w:rsidRDefault="000D16E7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4942FB52" w14:textId="77777777" w:rsidR="005C4795" w:rsidRPr="009A53BA" w:rsidRDefault="001C3DDC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7.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REĢISTRĀCIJAS APLIECĪBAS ĪPAŠNIEKS</w:t>
      </w:r>
    </w:p>
    <w:p w14:paraId="29B04824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ACC59BA" w14:textId="77777777" w:rsidR="005C4795" w:rsidRPr="009A53BA" w:rsidRDefault="00985676" w:rsidP="002332F0">
      <w:pPr>
        <w:tabs>
          <w:tab w:val="left" w:pos="1134"/>
          <w:tab w:val="left" w:pos="4536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Le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Vet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Beheer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B.V.</w:t>
      </w:r>
    </w:p>
    <w:p w14:paraId="3C9B2DCE" w14:textId="77777777" w:rsidR="005C4795" w:rsidRPr="009A53BA" w:rsidRDefault="00985676" w:rsidP="002332F0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Wilgenweg</w:t>
      </w:r>
      <w:proofErr w:type="spellEnd"/>
      <w:r w:rsidRPr="009A53BA">
        <w:rPr>
          <w:rFonts w:ascii="Times New Roman" w:hAnsi="Times New Roman" w:cs="Times New Roman"/>
          <w:szCs w:val="22"/>
          <w:lang w:val="lv-LV"/>
        </w:rPr>
        <w:t xml:space="preserve"> 7</w:t>
      </w:r>
    </w:p>
    <w:p w14:paraId="28390DC8" w14:textId="77777777" w:rsidR="005C4795" w:rsidRPr="009A53BA" w:rsidRDefault="00985676" w:rsidP="002332F0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3421 TV </w:t>
      </w:r>
      <w:proofErr w:type="spellStart"/>
      <w:r w:rsidRPr="009A53BA">
        <w:rPr>
          <w:rFonts w:ascii="Times New Roman" w:hAnsi="Times New Roman" w:cs="Times New Roman"/>
          <w:szCs w:val="22"/>
          <w:lang w:val="lv-LV"/>
        </w:rPr>
        <w:t>Oudewater</w:t>
      </w:r>
      <w:proofErr w:type="spellEnd"/>
    </w:p>
    <w:p w14:paraId="2FD2723F" w14:textId="77777777" w:rsidR="005C4795" w:rsidRPr="009A53BA" w:rsidRDefault="00985676" w:rsidP="002332F0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Nīderlande</w:t>
      </w:r>
    </w:p>
    <w:p w14:paraId="3775A464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7307170" w14:textId="77777777" w:rsidR="001F5342" w:rsidRPr="009A53BA" w:rsidRDefault="001F5342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87C98BF" w14:textId="77777777" w:rsidR="005C4795" w:rsidRPr="009A53BA" w:rsidRDefault="001C3DDC" w:rsidP="009A53BA">
      <w:pPr>
        <w:keepNext/>
        <w:spacing w:line="240" w:lineRule="auto"/>
        <w:ind w:left="720" w:hanging="720"/>
        <w:outlineLvl w:val="0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8.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REĢISTRĀCIJAS APLIECĪBAS NUMURS(-I)</w:t>
      </w:r>
    </w:p>
    <w:p w14:paraId="16DB479A" w14:textId="77777777" w:rsidR="002332F0" w:rsidRDefault="002332F0" w:rsidP="002332F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EFCC708" w14:textId="7B89148A" w:rsidR="005C4795" w:rsidRPr="009A53BA" w:rsidRDefault="00A15272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V/DCP/17/0020</w:t>
      </w:r>
    </w:p>
    <w:p w14:paraId="026C4A1D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F63E399" w14:textId="77777777" w:rsidR="001F5342" w:rsidRPr="009A53BA" w:rsidRDefault="001F5342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61F2CBF" w14:textId="54E5FD93" w:rsidR="005C4795" w:rsidRPr="009A53BA" w:rsidRDefault="001C3DDC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9.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REĢISTRĀCIJAS</w:t>
      </w:r>
      <w:r w:rsidR="002332F0">
        <w:rPr>
          <w:rFonts w:ascii="Times New Roman" w:hAnsi="Times New Roman" w:cs="Times New Roman"/>
          <w:b/>
          <w:szCs w:val="22"/>
          <w:lang w:val="lv-LV"/>
        </w:rPr>
        <w:t xml:space="preserve"> </w:t>
      </w:r>
      <w:r w:rsidR="009C44AC" w:rsidRPr="009A53BA">
        <w:rPr>
          <w:rFonts w:ascii="Times New Roman" w:hAnsi="Times New Roman" w:cs="Times New Roman"/>
          <w:b/>
          <w:szCs w:val="22"/>
          <w:lang w:val="lv-LV"/>
        </w:rPr>
        <w:t>/PĀRREĢISTRĀCIJAS DATUMS</w:t>
      </w:r>
    </w:p>
    <w:p w14:paraId="75043C6D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3E8F25C6" w14:textId="77777777" w:rsidR="005C4795" w:rsidRPr="009A53BA" w:rsidRDefault="001F5342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 xml:space="preserve">Pirmās reģistrācijas datums: </w:t>
      </w:r>
      <w:r w:rsidR="00A15272" w:rsidRPr="009A53BA">
        <w:rPr>
          <w:rFonts w:ascii="Times New Roman" w:hAnsi="Times New Roman" w:cs="Times New Roman"/>
          <w:szCs w:val="22"/>
          <w:lang w:val="lv-LV"/>
        </w:rPr>
        <w:t>28/04/2017</w:t>
      </w:r>
    </w:p>
    <w:p w14:paraId="14A8E04B" w14:textId="78A89625" w:rsidR="005C4795" w:rsidRPr="009A53BA" w:rsidRDefault="000F2ED9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Pēdējās pārreģistrācijas datums:</w:t>
      </w:r>
      <w:r w:rsidR="009C44AC" w:rsidRPr="009A53BA">
        <w:rPr>
          <w:rFonts w:ascii="Times New Roman" w:hAnsi="Times New Roman" w:cs="Times New Roman"/>
          <w:szCs w:val="22"/>
          <w:lang w:val="lv-LV"/>
        </w:rPr>
        <w:t xml:space="preserve"> </w:t>
      </w:r>
      <w:r w:rsidR="009A53BA">
        <w:rPr>
          <w:rFonts w:ascii="Times New Roman" w:hAnsi="Times New Roman" w:cs="Times New Roman"/>
          <w:szCs w:val="22"/>
          <w:lang w:val="lv-LV"/>
        </w:rPr>
        <w:t>26/05/2022</w:t>
      </w:r>
    </w:p>
    <w:p w14:paraId="2DB15C0A" w14:textId="75569C29" w:rsidR="001F5342" w:rsidRDefault="001F5342" w:rsidP="002332F0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6B1BA19" w14:textId="77777777" w:rsidR="002332F0" w:rsidRPr="009A53BA" w:rsidRDefault="002332F0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824A75B" w14:textId="77777777" w:rsidR="005C4795" w:rsidRPr="009A53BA" w:rsidRDefault="001C3DDC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10.</w:t>
      </w:r>
      <w:r w:rsidRPr="009A53BA">
        <w:rPr>
          <w:rFonts w:ascii="Times New Roman" w:hAnsi="Times New Roman" w:cs="Times New Roman"/>
          <w:b/>
          <w:szCs w:val="22"/>
          <w:lang w:val="lv-LV"/>
        </w:rPr>
        <w:tab/>
      </w:r>
      <w:r w:rsidR="00985676" w:rsidRPr="009A53BA">
        <w:rPr>
          <w:rFonts w:ascii="Times New Roman" w:hAnsi="Times New Roman" w:cs="Times New Roman"/>
          <w:b/>
          <w:szCs w:val="22"/>
          <w:lang w:val="lv-LV"/>
        </w:rPr>
        <w:t>TEKSTA PĒDĒJĀS PĀRSKATĪŠANAS DATUMS</w:t>
      </w:r>
    </w:p>
    <w:p w14:paraId="481C127E" w14:textId="77777777" w:rsidR="00CB4731" w:rsidRPr="009A53BA" w:rsidRDefault="00CB4731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87384C3" w14:textId="5BB83BDE" w:rsidR="00257E55" w:rsidRPr="009A53BA" w:rsidRDefault="00257E55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>
        <w:rPr>
          <w:rFonts w:ascii="Times New Roman" w:hAnsi="Times New Roman" w:cs="Times New Roman"/>
          <w:szCs w:val="22"/>
          <w:lang w:val="lv-LV"/>
        </w:rPr>
        <w:t>05/2022</w:t>
      </w:r>
    </w:p>
    <w:p w14:paraId="727C15CA" w14:textId="77777777" w:rsidR="00CB4731" w:rsidRPr="009A53BA" w:rsidRDefault="00CB4731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CDB0E9C" w14:textId="77777777" w:rsidR="00705DE2" w:rsidRPr="009A53BA" w:rsidRDefault="00705DE2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ACC5E00" w14:textId="77777777" w:rsidR="005C4795" w:rsidRPr="009A53BA" w:rsidRDefault="00985676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  <w:r w:rsidRPr="009A53BA">
        <w:rPr>
          <w:rFonts w:ascii="Times New Roman" w:hAnsi="Times New Roman" w:cs="Times New Roman"/>
          <w:b/>
          <w:szCs w:val="22"/>
          <w:lang w:val="lv-LV"/>
        </w:rPr>
        <w:t>RAŽOŠANAS, IEVEŠANAS, IZPLATĪŠANAS, TIRDZNIECĪBAS, PIEGĀDES UN/VAI LIETOŠANAS AIZLIEGUMS</w:t>
      </w:r>
    </w:p>
    <w:p w14:paraId="71F2CEEB" w14:textId="77777777" w:rsidR="005C4795" w:rsidRPr="009A53BA" w:rsidRDefault="005C4795" w:rsidP="009A53BA">
      <w:pPr>
        <w:spacing w:line="240" w:lineRule="auto"/>
        <w:rPr>
          <w:rFonts w:ascii="Times New Roman" w:hAnsi="Times New Roman" w:cs="Times New Roman"/>
          <w:b/>
          <w:szCs w:val="22"/>
          <w:lang w:val="lv-LV"/>
        </w:rPr>
      </w:pPr>
    </w:p>
    <w:p w14:paraId="0AF8F4B3" w14:textId="77777777" w:rsidR="00985676" w:rsidRPr="009A53BA" w:rsidRDefault="00524583" w:rsidP="009A53BA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9A53BA">
        <w:rPr>
          <w:rFonts w:ascii="Times New Roman" w:hAnsi="Times New Roman" w:cs="Times New Roman"/>
          <w:szCs w:val="22"/>
          <w:lang w:val="lv-LV"/>
        </w:rPr>
        <w:t>Recepšu veterinārās zāles.</w:t>
      </w:r>
    </w:p>
    <w:sectPr w:rsidR="00985676" w:rsidRPr="009A53BA" w:rsidSect="009A53BA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F25"/>
    <w:rsid w:val="000302D3"/>
    <w:rsid w:val="0003763A"/>
    <w:rsid w:val="000616F9"/>
    <w:rsid w:val="00062DB3"/>
    <w:rsid w:val="00077889"/>
    <w:rsid w:val="000D16E7"/>
    <w:rsid w:val="000E4461"/>
    <w:rsid w:val="000F2ED9"/>
    <w:rsid w:val="000F5E46"/>
    <w:rsid w:val="00103F74"/>
    <w:rsid w:val="00106F1E"/>
    <w:rsid w:val="0011436E"/>
    <w:rsid w:val="0012177F"/>
    <w:rsid w:val="0012231C"/>
    <w:rsid w:val="0013430F"/>
    <w:rsid w:val="00153F21"/>
    <w:rsid w:val="00167D53"/>
    <w:rsid w:val="0017423C"/>
    <w:rsid w:val="001A0562"/>
    <w:rsid w:val="001C3DDC"/>
    <w:rsid w:val="001E6EE9"/>
    <w:rsid w:val="001F1596"/>
    <w:rsid w:val="001F188F"/>
    <w:rsid w:val="001F5342"/>
    <w:rsid w:val="00217061"/>
    <w:rsid w:val="002202F8"/>
    <w:rsid w:val="00221F86"/>
    <w:rsid w:val="002332F0"/>
    <w:rsid w:val="002514E1"/>
    <w:rsid w:val="00257E55"/>
    <w:rsid w:val="00260728"/>
    <w:rsid w:val="002A4ED0"/>
    <w:rsid w:val="002B2E47"/>
    <w:rsid w:val="002B65FE"/>
    <w:rsid w:val="002E6E2B"/>
    <w:rsid w:val="002F02BE"/>
    <w:rsid w:val="003049BD"/>
    <w:rsid w:val="003066A8"/>
    <w:rsid w:val="003347A7"/>
    <w:rsid w:val="00346D5B"/>
    <w:rsid w:val="003545CB"/>
    <w:rsid w:val="00355A5D"/>
    <w:rsid w:val="0036745D"/>
    <w:rsid w:val="0037393A"/>
    <w:rsid w:val="00381FAE"/>
    <w:rsid w:val="00382C97"/>
    <w:rsid w:val="00382F30"/>
    <w:rsid w:val="00393EE6"/>
    <w:rsid w:val="0039401C"/>
    <w:rsid w:val="003D4782"/>
    <w:rsid w:val="003E7DD9"/>
    <w:rsid w:val="0043229F"/>
    <w:rsid w:val="00451460"/>
    <w:rsid w:val="00457F73"/>
    <w:rsid w:val="0046206C"/>
    <w:rsid w:val="00462289"/>
    <w:rsid w:val="00463AFA"/>
    <w:rsid w:val="004B1FF4"/>
    <w:rsid w:val="004B6559"/>
    <w:rsid w:val="004D302C"/>
    <w:rsid w:val="004F67BA"/>
    <w:rsid w:val="00501651"/>
    <w:rsid w:val="005055E0"/>
    <w:rsid w:val="00524583"/>
    <w:rsid w:val="005376FB"/>
    <w:rsid w:val="005821C2"/>
    <w:rsid w:val="005C3069"/>
    <w:rsid w:val="005C4795"/>
    <w:rsid w:val="005D2826"/>
    <w:rsid w:val="005D6184"/>
    <w:rsid w:val="005F3B63"/>
    <w:rsid w:val="00626F25"/>
    <w:rsid w:val="00665462"/>
    <w:rsid w:val="00665ADA"/>
    <w:rsid w:val="00673F33"/>
    <w:rsid w:val="00674AC5"/>
    <w:rsid w:val="00676809"/>
    <w:rsid w:val="006839E6"/>
    <w:rsid w:val="006A421D"/>
    <w:rsid w:val="006F2409"/>
    <w:rsid w:val="00701474"/>
    <w:rsid w:val="00705DE2"/>
    <w:rsid w:val="0071476B"/>
    <w:rsid w:val="007258A4"/>
    <w:rsid w:val="00750BB5"/>
    <w:rsid w:val="0075436D"/>
    <w:rsid w:val="007833E3"/>
    <w:rsid w:val="0078443A"/>
    <w:rsid w:val="0078715C"/>
    <w:rsid w:val="00791746"/>
    <w:rsid w:val="007D7B63"/>
    <w:rsid w:val="007F350E"/>
    <w:rsid w:val="00884068"/>
    <w:rsid w:val="008956D5"/>
    <w:rsid w:val="008A070A"/>
    <w:rsid w:val="008A0BDD"/>
    <w:rsid w:val="008C3405"/>
    <w:rsid w:val="008E1CFA"/>
    <w:rsid w:val="00905195"/>
    <w:rsid w:val="00917801"/>
    <w:rsid w:val="00923489"/>
    <w:rsid w:val="00926BC2"/>
    <w:rsid w:val="009320B2"/>
    <w:rsid w:val="00936E19"/>
    <w:rsid w:val="009370BC"/>
    <w:rsid w:val="009541D2"/>
    <w:rsid w:val="00956768"/>
    <w:rsid w:val="00957DCD"/>
    <w:rsid w:val="00967B6E"/>
    <w:rsid w:val="00985676"/>
    <w:rsid w:val="00996DD3"/>
    <w:rsid w:val="009A079B"/>
    <w:rsid w:val="009A53BA"/>
    <w:rsid w:val="009B7128"/>
    <w:rsid w:val="009C44AC"/>
    <w:rsid w:val="009C625B"/>
    <w:rsid w:val="00A147CE"/>
    <w:rsid w:val="00A15191"/>
    <w:rsid w:val="00A15272"/>
    <w:rsid w:val="00A22BF0"/>
    <w:rsid w:val="00A24CE2"/>
    <w:rsid w:val="00A25D33"/>
    <w:rsid w:val="00A814B9"/>
    <w:rsid w:val="00AC7A0A"/>
    <w:rsid w:val="00AD2432"/>
    <w:rsid w:val="00AF05AB"/>
    <w:rsid w:val="00B03254"/>
    <w:rsid w:val="00B06C9D"/>
    <w:rsid w:val="00B0768D"/>
    <w:rsid w:val="00B144E3"/>
    <w:rsid w:val="00B204D2"/>
    <w:rsid w:val="00B32D0C"/>
    <w:rsid w:val="00B51BE6"/>
    <w:rsid w:val="00B56425"/>
    <w:rsid w:val="00B60F3C"/>
    <w:rsid w:val="00B81C07"/>
    <w:rsid w:val="00B9576E"/>
    <w:rsid w:val="00B97D1D"/>
    <w:rsid w:val="00BB5A2F"/>
    <w:rsid w:val="00BD500B"/>
    <w:rsid w:val="00BE42E5"/>
    <w:rsid w:val="00C062E0"/>
    <w:rsid w:val="00C16A8B"/>
    <w:rsid w:val="00C2113D"/>
    <w:rsid w:val="00C5384F"/>
    <w:rsid w:val="00C74A14"/>
    <w:rsid w:val="00C87F89"/>
    <w:rsid w:val="00CB4731"/>
    <w:rsid w:val="00CC0BBC"/>
    <w:rsid w:val="00CC6746"/>
    <w:rsid w:val="00CD0EEB"/>
    <w:rsid w:val="00CD5C23"/>
    <w:rsid w:val="00D00213"/>
    <w:rsid w:val="00D04C8D"/>
    <w:rsid w:val="00D160FE"/>
    <w:rsid w:val="00D256A4"/>
    <w:rsid w:val="00D43707"/>
    <w:rsid w:val="00D5794D"/>
    <w:rsid w:val="00D714AB"/>
    <w:rsid w:val="00D76821"/>
    <w:rsid w:val="00D85F98"/>
    <w:rsid w:val="00DB2FB7"/>
    <w:rsid w:val="00DE1F47"/>
    <w:rsid w:val="00E002C9"/>
    <w:rsid w:val="00E018A7"/>
    <w:rsid w:val="00E24844"/>
    <w:rsid w:val="00E61F22"/>
    <w:rsid w:val="00E70A6E"/>
    <w:rsid w:val="00E85864"/>
    <w:rsid w:val="00EB5D3F"/>
    <w:rsid w:val="00EC3C75"/>
    <w:rsid w:val="00ED69FE"/>
    <w:rsid w:val="00EF206A"/>
    <w:rsid w:val="00F220B4"/>
    <w:rsid w:val="00F22208"/>
    <w:rsid w:val="00F30F5E"/>
    <w:rsid w:val="00F31187"/>
    <w:rsid w:val="00F52C27"/>
    <w:rsid w:val="00F83413"/>
    <w:rsid w:val="00FD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C44876"/>
  <w15:docId w15:val="{ECB62066-CFE4-4D13-A7D6-BA33B46E7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HAns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795"/>
    <w:pPr>
      <w:tabs>
        <w:tab w:val="left" w:pos="567"/>
      </w:tabs>
      <w:spacing w:after="0" w:line="260" w:lineRule="exact"/>
    </w:pPr>
    <w:rPr>
      <w:rFonts w:asciiTheme="minorBidi" w:hAnsiTheme="minorBidi" w:cstheme="minorBidi"/>
      <w:snapToGrid w:val="0"/>
      <w:szCs w:val="24"/>
      <w:lang w:val="it-IT"/>
    </w:rPr>
  </w:style>
  <w:style w:type="paragraph" w:styleId="Heading3">
    <w:name w:val="heading 3"/>
    <w:basedOn w:val="Normal"/>
    <w:next w:val="Normal"/>
    <w:link w:val="CommentReference"/>
    <w:uiPriority w:val="9"/>
    <w:semiHidden/>
    <w:qFormat/>
    <w:rsid w:val="005C4795"/>
    <w:pPr>
      <w:keepNext/>
      <w:spacing w:before="240" w:after="60"/>
      <w:outlineLvl w:val="2"/>
    </w:pPr>
    <w:rPr>
      <w:rFonts w:asciiTheme="majorHAnsi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5C4795"/>
    <w:pPr>
      <w:keepNext/>
      <w:spacing w:line="240" w:lineRule="auto"/>
      <w:outlineLvl w:val="3"/>
    </w:pPr>
    <w:rPr>
      <w:szCs w:val="20"/>
      <w:u w:val="single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5C4795"/>
    <w:pPr>
      <w:keepNext/>
      <w:tabs>
        <w:tab w:val="clear" w:pos="567"/>
      </w:tabs>
      <w:spacing w:line="240" w:lineRule="auto"/>
      <w:outlineLvl w:val="4"/>
    </w:pPr>
    <w:rPr>
      <w:b/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uiPriority w:val="9"/>
    <w:semiHidden/>
    <w:locked/>
    <w:rsid w:val="005C4795"/>
    <w:rPr>
      <w:rFonts w:asciiTheme="majorHAnsi" w:eastAsia="Times New Roman" w:hAnsiTheme="majorHAnsi" w:cstheme="minorBidi"/>
      <w:b/>
      <w:bCs/>
      <w:sz w:val="26"/>
      <w:szCs w:val="26"/>
      <w:lang w:val="it-IT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sid w:val="005C4795"/>
    <w:rPr>
      <w:rFonts w:asciiTheme="minorBidi" w:hAnsiTheme="minorBidi" w:cstheme="minorBidi"/>
      <w:sz w:val="20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5C4795"/>
    <w:rPr>
      <w:rFonts w:asciiTheme="minorBidi" w:hAnsiTheme="minorBidi" w:cstheme="minorBidi"/>
      <w:b/>
      <w:noProof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C4795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C4795"/>
    <w:rPr>
      <w:rFonts w:asciiTheme="minorBidi" w:hAnsiTheme="minorBidi" w:cstheme="minorBidi"/>
      <w:sz w:val="18"/>
      <w:szCs w:val="18"/>
      <w:lang w:val="it-IT"/>
    </w:rPr>
  </w:style>
  <w:style w:type="paragraph" w:customStyle="1" w:styleId="Default">
    <w:name w:val="Default"/>
    <w:rsid w:val="005C47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napToGrid w:val="0"/>
      <w:color w:val="000000"/>
      <w:sz w:val="24"/>
      <w:szCs w:val="24"/>
    </w:rPr>
  </w:style>
  <w:style w:type="character" w:styleId="CommentReference">
    <w:name w:val="annotation reference"/>
    <w:aliases w:val="Heading 3 Char1"/>
    <w:basedOn w:val="DefaultParagraphFont"/>
    <w:link w:val="Heading3"/>
    <w:uiPriority w:val="99"/>
    <w:semiHidden/>
    <w:rsid w:val="005C4795"/>
    <w:rPr>
      <w:rFonts w:cstheme="minorBidi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C47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C4795"/>
    <w:rPr>
      <w:rFonts w:asciiTheme="minorBidi" w:hAnsiTheme="minorBidi" w:cstheme="minorBidi"/>
      <w:sz w:val="20"/>
      <w:szCs w:val="20"/>
      <w:lang w:val="it-I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C47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C4795"/>
    <w:rPr>
      <w:rFonts w:asciiTheme="minorBidi" w:hAnsiTheme="minorBidi" w:cstheme="minorBidi"/>
      <w:b/>
      <w:bCs/>
      <w:sz w:val="20"/>
      <w:szCs w:val="20"/>
      <w:lang w:val="it-IT"/>
    </w:rPr>
  </w:style>
  <w:style w:type="character" w:customStyle="1" w:styleId="tw4winMark">
    <w:name w:val="tw4winMark"/>
    <w:uiPriority w:val="99"/>
    <w:rsid w:val="005C4795"/>
    <w:rPr>
      <w:rFonts w:ascii="Courier New" w:hAnsi="Courier New"/>
      <w:vanish/>
      <w:color w:val="800080"/>
      <w:sz w:val="24"/>
      <w:vertAlign w:val="subscript"/>
    </w:rPr>
  </w:style>
  <w:style w:type="character" w:styleId="Emphasis">
    <w:name w:val="Emphasis"/>
    <w:basedOn w:val="DefaultParagraphFont"/>
    <w:uiPriority w:val="20"/>
    <w:qFormat/>
    <w:rsid w:val="005C4795"/>
    <w:rPr>
      <w:rFonts w:cstheme="minorBidi"/>
      <w:i/>
      <w:iCs/>
    </w:rPr>
  </w:style>
  <w:style w:type="character" w:styleId="PlaceholderText">
    <w:name w:val="Placeholder Text"/>
    <w:basedOn w:val="DefaultParagraphFont"/>
    <w:uiPriority w:val="99"/>
    <w:semiHidden/>
    <w:rsid w:val="005C4795"/>
    <w:rPr>
      <w:rFonts w:cstheme="minorBidi"/>
      <w:color w:val="808080"/>
    </w:rPr>
  </w:style>
  <w:style w:type="character" w:customStyle="1" w:styleId="tw4winError">
    <w:name w:val="tw4winError"/>
    <w:uiPriority w:val="99"/>
    <w:rsid w:val="005C4795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5C4795"/>
    <w:rPr>
      <w:color w:val="0000FF"/>
    </w:rPr>
  </w:style>
  <w:style w:type="character" w:customStyle="1" w:styleId="tw4winPopup">
    <w:name w:val="tw4winPopup"/>
    <w:uiPriority w:val="99"/>
    <w:rsid w:val="005C4795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5C4795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5C4795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5C4795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5C4795"/>
    <w:rPr>
      <w:rFonts w:ascii="Courier New" w:hAnsi="Courier New"/>
      <w:noProof/>
      <w:color w:val="800000"/>
    </w:rPr>
  </w:style>
  <w:style w:type="paragraph" w:styleId="ListParagraph">
    <w:name w:val="List Paragraph"/>
    <w:basedOn w:val="Normal"/>
    <w:uiPriority w:val="34"/>
    <w:qFormat/>
    <w:rsid w:val="00956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35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925F2-0726-41F0-B8E9-4F6A7B784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4205</Words>
  <Characters>2397</Characters>
  <Application>Microsoft Office Word</Application>
  <DocSecurity>0</DocSecurity>
  <Lines>19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>1970-01-01T00:00:00Z</dcterms:created>
  <dcterms:modified xsi:type="dcterms:W3CDTF">1970-01-01T00:00:00Z</dcterms:modified>
</cp:coreProperties>
</file>