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232F6" w14:textId="77777777" w:rsidR="004E5906" w:rsidRPr="007E176A" w:rsidRDefault="004E5906" w:rsidP="007E176A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lang w:val="lv-LV"/>
        </w:rPr>
        <w:t>LIETOŠANAS INSTRUKCIJA</w:t>
      </w:r>
    </w:p>
    <w:p w14:paraId="61E9BC31" w14:textId="77777777" w:rsidR="004E5906" w:rsidRPr="007E176A" w:rsidRDefault="004E5906" w:rsidP="007E176A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lang w:val="lv-LV"/>
        </w:rPr>
        <w:t>V/DCP/17/0020</w:t>
      </w:r>
    </w:p>
    <w:p w14:paraId="5EE57FD0" w14:textId="77777777" w:rsidR="004E5906" w:rsidRPr="007E176A" w:rsidRDefault="004E5906" w:rsidP="007E176A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b/>
          <w:szCs w:val="22"/>
          <w:lang w:val="lv-LV"/>
        </w:rPr>
        <w:t>Histodine</w:t>
      </w:r>
      <w:proofErr w:type="spellEnd"/>
      <w:r w:rsidRPr="007E176A">
        <w:rPr>
          <w:rFonts w:ascii="Times New Roman" w:hAnsi="Times New Roman" w:cs="Times New Roman"/>
          <w:b/>
          <w:szCs w:val="22"/>
          <w:lang w:val="lv-LV"/>
        </w:rPr>
        <w:t xml:space="preserve"> 10 mg/ml šķīdums injekcijām liellopiem</w:t>
      </w:r>
    </w:p>
    <w:p w14:paraId="25652A80" w14:textId="77777777" w:rsidR="004E5906" w:rsidRPr="007E176A" w:rsidRDefault="004E5906" w:rsidP="007E176A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</w:p>
    <w:p w14:paraId="351C4578" w14:textId="77777777" w:rsidR="004E5906" w:rsidRPr="007E176A" w:rsidRDefault="004E5906" w:rsidP="007E176A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</w:p>
    <w:p w14:paraId="18A1E5B0" w14:textId="77777777" w:rsidR="004E5906" w:rsidRPr="007E176A" w:rsidRDefault="004E5906" w:rsidP="007E176A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15F5434B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D234A1E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i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Reģistrācijas apliecības īpašnieks</w:t>
      </w:r>
      <w:r w:rsidRPr="007E176A">
        <w:rPr>
          <w:rFonts w:ascii="Times New Roman" w:hAnsi="Times New Roman" w:cs="Times New Roman"/>
          <w:szCs w:val="22"/>
          <w:lang w:val="lv-LV"/>
        </w:rPr>
        <w:t>:</w:t>
      </w:r>
    </w:p>
    <w:p w14:paraId="4DDF51BD" w14:textId="77777777" w:rsidR="004E5906" w:rsidRPr="007E176A" w:rsidRDefault="004E5906" w:rsidP="007E176A">
      <w:pPr>
        <w:tabs>
          <w:tab w:val="left" w:pos="1134"/>
          <w:tab w:val="left" w:pos="4536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Le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Vet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Beheer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B.V.</w:t>
      </w:r>
    </w:p>
    <w:p w14:paraId="0B4FAEC8" w14:textId="77777777" w:rsidR="004E5906" w:rsidRPr="007E176A" w:rsidRDefault="004E5906" w:rsidP="007E176A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Wilgenweg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7</w:t>
      </w:r>
    </w:p>
    <w:p w14:paraId="0AF0F072" w14:textId="77777777" w:rsidR="004E5906" w:rsidRPr="007E176A" w:rsidRDefault="004E5906" w:rsidP="007E176A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3421 TV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Oudewater</w:t>
      </w:r>
      <w:proofErr w:type="spellEnd"/>
    </w:p>
    <w:p w14:paraId="58450B52" w14:textId="77777777" w:rsidR="004E5906" w:rsidRPr="007E176A" w:rsidRDefault="004E5906" w:rsidP="007E176A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Nīderlande</w:t>
      </w:r>
    </w:p>
    <w:p w14:paraId="6BD034AF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D820CFE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Par sērijas izlaidi atbildīgais ražotājs</w:t>
      </w:r>
      <w:r w:rsidRPr="007E176A">
        <w:rPr>
          <w:rFonts w:ascii="Times New Roman" w:hAnsi="Times New Roman" w:cs="Times New Roman"/>
          <w:szCs w:val="22"/>
          <w:lang w:val="lv-LV"/>
        </w:rPr>
        <w:t>:</w:t>
      </w:r>
    </w:p>
    <w:p w14:paraId="71394A02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Produlab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Pharma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B.V.</w:t>
      </w:r>
    </w:p>
    <w:p w14:paraId="3DD9117C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Forellenweg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16</w:t>
      </w:r>
    </w:p>
    <w:p w14:paraId="4B80851B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4941 SJ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Raamsdonksveer</w:t>
      </w:r>
      <w:proofErr w:type="spellEnd"/>
    </w:p>
    <w:p w14:paraId="1C7F4C74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Nīderlande</w:t>
      </w:r>
    </w:p>
    <w:p w14:paraId="5AA4CA57" w14:textId="1D09B7A7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8D73512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EF36164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2.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VETERINĀRO ZĀĻU NOSAUKUMS</w:t>
      </w:r>
    </w:p>
    <w:p w14:paraId="59EC27D9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3C186AC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b/>
          <w:szCs w:val="22"/>
          <w:lang w:val="lv-LV"/>
        </w:rPr>
        <w:t>Histodine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10 mg/ml šķīdums injekcijām liellopiem </w:t>
      </w:r>
    </w:p>
    <w:p w14:paraId="42586254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i/>
          <w:szCs w:val="22"/>
          <w:lang w:val="lv-LV"/>
        </w:rPr>
        <w:t>chlorphenamini maleas</w:t>
      </w:r>
    </w:p>
    <w:p w14:paraId="53C1154B" w14:textId="131BBE3F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A5E2E09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15AC3DA" w14:textId="77777777" w:rsidR="004E5906" w:rsidRPr="007E176A" w:rsidRDefault="004E5906" w:rsidP="007E176A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3.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AKTĪVO VIELU UN CITU VIELU NOSAUKUMS</w:t>
      </w:r>
    </w:p>
    <w:p w14:paraId="0218415D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i/>
          <w:szCs w:val="22"/>
          <w:lang w:val="lv-LV"/>
        </w:rPr>
      </w:pPr>
    </w:p>
    <w:p w14:paraId="779044FA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1 ml satur: </w:t>
      </w:r>
    </w:p>
    <w:p w14:paraId="74B333DD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9D99E99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lang w:val="lv-LV"/>
        </w:rPr>
        <w:t>Aktīvā viela:</w:t>
      </w:r>
    </w:p>
    <w:p w14:paraId="4CA60A0E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kern w:val="28"/>
          <w:szCs w:val="22"/>
          <w:lang w:val="lv-LV"/>
        </w:rPr>
        <w:t>Hlorfenamīna</w:t>
      </w:r>
      <w:proofErr w:type="spellEnd"/>
      <w:r w:rsidRPr="007E176A">
        <w:rPr>
          <w:rFonts w:ascii="Times New Roman" w:hAnsi="Times New Roman" w:cs="Times New Roman"/>
          <w:kern w:val="28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kern w:val="28"/>
          <w:szCs w:val="22"/>
          <w:lang w:val="lv-LV"/>
        </w:rPr>
        <w:t>maleāts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r w:rsidRPr="007E176A">
        <w:rPr>
          <w:rFonts w:ascii="Times New Roman" w:hAnsi="Times New Roman" w:cs="Times New Roman"/>
          <w:szCs w:val="22"/>
          <w:lang w:val="lv-LV"/>
        </w:rPr>
        <w:tab/>
        <w:t>10 mg</w:t>
      </w:r>
    </w:p>
    <w:p w14:paraId="18DC96F3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(atbilst 7,03 mg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>)</w:t>
      </w:r>
    </w:p>
    <w:p w14:paraId="6197B647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4389F02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b/>
          <w:szCs w:val="22"/>
          <w:lang w:val="lv-LV"/>
        </w:rPr>
        <w:t>Palīgvielas</w:t>
      </w:r>
      <w:proofErr w:type="spellEnd"/>
      <w:r w:rsidRPr="007E176A">
        <w:rPr>
          <w:rFonts w:ascii="Times New Roman" w:hAnsi="Times New Roman" w:cs="Times New Roman"/>
          <w:b/>
          <w:szCs w:val="22"/>
          <w:lang w:val="lv-LV"/>
        </w:rPr>
        <w:t>:</w:t>
      </w:r>
    </w:p>
    <w:p w14:paraId="5B38C1B4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Metilparahidroksibenzoāts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(E218)</w:t>
      </w:r>
      <w:r w:rsidRPr="007E176A">
        <w:rPr>
          <w:rFonts w:ascii="Times New Roman" w:hAnsi="Times New Roman" w:cs="Times New Roman"/>
          <w:szCs w:val="22"/>
          <w:lang w:val="lv-LV"/>
        </w:rPr>
        <w:tab/>
        <w:t xml:space="preserve">1,0 mg </w:t>
      </w:r>
    </w:p>
    <w:p w14:paraId="2B6BF627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Propilparahidroksibenzoāts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ab/>
      </w:r>
      <w:r w:rsidRPr="007E176A">
        <w:rPr>
          <w:rFonts w:ascii="Times New Roman" w:hAnsi="Times New Roman" w:cs="Times New Roman"/>
          <w:szCs w:val="22"/>
          <w:lang w:val="lv-LV"/>
        </w:rPr>
        <w:tab/>
        <w:t>0,2 mg</w:t>
      </w:r>
    </w:p>
    <w:p w14:paraId="67CEEEE3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8AF6790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Dzidrs, bezkrāsains šķīdums.</w:t>
      </w:r>
    </w:p>
    <w:p w14:paraId="4C24C4C5" w14:textId="7A18DD1E" w:rsidR="004E5906" w:rsidRDefault="004E5906" w:rsidP="007E176A">
      <w:pPr>
        <w:pStyle w:val="Geenafstand1"/>
        <w:rPr>
          <w:rFonts w:ascii="Times New Roman" w:hAnsi="Times New Roman"/>
          <w:sz w:val="22"/>
          <w:szCs w:val="22"/>
          <w:lang w:val="lv-LV"/>
        </w:rPr>
      </w:pPr>
    </w:p>
    <w:p w14:paraId="26E7BD8A" w14:textId="77777777" w:rsidR="007E176A" w:rsidRPr="007E176A" w:rsidRDefault="007E176A" w:rsidP="007E176A">
      <w:pPr>
        <w:pStyle w:val="Geenafstand1"/>
        <w:rPr>
          <w:rFonts w:ascii="Times New Roman" w:hAnsi="Times New Roman"/>
          <w:sz w:val="22"/>
          <w:szCs w:val="22"/>
          <w:lang w:val="lv-LV"/>
        </w:rPr>
      </w:pPr>
    </w:p>
    <w:p w14:paraId="399DA204" w14:textId="11A27D9C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4.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INDIKĀCIJA</w:t>
      </w:r>
      <w:r w:rsidR="00B83CD9" w:rsidRPr="007E176A">
        <w:rPr>
          <w:rFonts w:ascii="Times New Roman" w:hAnsi="Times New Roman" w:cs="Times New Roman"/>
          <w:b/>
          <w:szCs w:val="22"/>
          <w:lang w:val="lv-LV"/>
        </w:rPr>
        <w:t>(-S)</w:t>
      </w:r>
    </w:p>
    <w:p w14:paraId="6F5D553B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A9BBA35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Ar histamīna izdalīšanos saistītu stāvokļu simptomātiskai ārstēšanai. </w:t>
      </w:r>
    </w:p>
    <w:p w14:paraId="7343742B" w14:textId="235F1181" w:rsidR="004E5906" w:rsidRDefault="004E5906" w:rsidP="007E176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12F4873" w14:textId="77777777" w:rsidR="007E176A" w:rsidRPr="007E176A" w:rsidRDefault="007E176A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DCC8B8E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5.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KONTRINDIKĀCIJAS</w:t>
      </w:r>
    </w:p>
    <w:p w14:paraId="2B12C331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9D70B57" w14:textId="5DFB1B4C" w:rsidR="004E5906" w:rsidRDefault="004E5906" w:rsidP="007E176A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Nelietot gadījumos, ja konstatēta pastiprināta jutība pret aktīvo vielu vai pret kādu no palīgvielām. </w:t>
      </w:r>
    </w:p>
    <w:p w14:paraId="0553234E" w14:textId="617E2201" w:rsidR="007E176A" w:rsidRDefault="007E176A" w:rsidP="007E176A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3EEB62D2" w14:textId="77777777" w:rsidR="007E176A" w:rsidRPr="007E176A" w:rsidRDefault="007E176A" w:rsidP="00250ED0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19DAC899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6.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IESPĒJAMĀS BLAKUSPARĀDĪBAS</w:t>
      </w:r>
    </w:p>
    <w:p w14:paraId="794E4DB3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C07CE1A" w14:textId="77777777" w:rsidR="00AF4584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Hlorfenamīnam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ir vāja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sedatīva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iedarbība.</w:t>
      </w:r>
    </w:p>
    <w:p w14:paraId="627AA1DF" w14:textId="3CE2A3F5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color w:val="000000"/>
          <w:szCs w:val="22"/>
          <w:lang w:val="lv-LV"/>
        </w:rPr>
        <w:lastRenderedPageBreak/>
        <w:t>Ja novērojat jebkuras blakusparādības</w:t>
      </w:r>
      <w:r w:rsidR="007E176A">
        <w:rPr>
          <w:rFonts w:ascii="Times New Roman" w:hAnsi="Times New Roman" w:cs="Times New Roman"/>
          <w:color w:val="000000"/>
          <w:szCs w:val="22"/>
          <w:lang w:val="lv-LV"/>
        </w:rPr>
        <w:t>, arī tās</w:t>
      </w:r>
      <w:r w:rsidRPr="007E176A">
        <w:rPr>
          <w:rFonts w:ascii="Times New Roman" w:hAnsi="Times New Roman" w:cs="Times New Roman"/>
          <w:color w:val="000000"/>
          <w:szCs w:val="22"/>
          <w:lang w:val="lv-LV"/>
        </w:rPr>
        <w:t xml:space="preserve">, kas nav minētas šajā lietošanas instrukcijā, </w:t>
      </w:r>
      <w:r w:rsidR="007E176A">
        <w:rPr>
          <w:rFonts w:ascii="Times New Roman" w:hAnsi="Times New Roman" w:cs="Times New Roman"/>
          <w:color w:val="000000"/>
          <w:szCs w:val="22"/>
          <w:lang w:val="lv-LV"/>
        </w:rPr>
        <w:t xml:space="preserve">vai domājat, ka zāles nav iedarbojušās, </w:t>
      </w:r>
      <w:r w:rsidRPr="007E176A">
        <w:rPr>
          <w:rFonts w:ascii="Times New Roman" w:hAnsi="Times New Roman" w:cs="Times New Roman"/>
          <w:color w:val="000000"/>
          <w:szCs w:val="22"/>
          <w:lang w:val="lv-LV"/>
        </w:rPr>
        <w:t>lūdzu, informējiet par t</w:t>
      </w:r>
      <w:r w:rsidR="007E176A">
        <w:rPr>
          <w:rFonts w:ascii="Times New Roman" w:hAnsi="Times New Roman" w:cs="Times New Roman"/>
          <w:color w:val="000000"/>
          <w:szCs w:val="22"/>
          <w:lang w:val="lv-LV"/>
        </w:rPr>
        <w:t>o</w:t>
      </w:r>
      <w:r w:rsidRPr="007E176A">
        <w:rPr>
          <w:rFonts w:ascii="Times New Roman" w:hAnsi="Times New Roman" w:cs="Times New Roman"/>
          <w:color w:val="000000"/>
          <w:szCs w:val="22"/>
          <w:lang w:val="lv-LV"/>
        </w:rPr>
        <w:t xml:space="preserve"> savu veterinārārstu.</w:t>
      </w:r>
      <w:r w:rsidR="00A14A1A" w:rsidRPr="007E176A">
        <w:rPr>
          <w:rFonts w:ascii="Times New Roman" w:hAnsi="Times New Roman" w:cs="Times New Roman"/>
          <w:color w:val="000000"/>
          <w:szCs w:val="22"/>
          <w:lang w:val="lv-LV"/>
        </w:rPr>
        <w:br/>
      </w:r>
      <w:r w:rsidR="00A14A1A" w:rsidRPr="007E176A">
        <w:rPr>
          <w:rFonts w:ascii="Times New Roman" w:hAnsi="Times New Roman" w:cs="Times New Roman"/>
          <w:szCs w:val="22"/>
          <w:lang w:val="lv-LV"/>
        </w:rPr>
        <w:t>Iespējams ziņot arī nacionālā ziņošanas sistēmā</w:t>
      </w:r>
      <w:r w:rsidR="002F224B">
        <w:rPr>
          <w:rFonts w:ascii="Times New Roman" w:hAnsi="Times New Roman" w:cs="Times New Roman"/>
          <w:szCs w:val="22"/>
          <w:lang w:val="lv-LV"/>
        </w:rPr>
        <w:t>, kas atrodama</w:t>
      </w:r>
      <w:r w:rsidR="00A14A1A"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r w:rsidR="002F224B" w:rsidRPr="00BA7EEE">
        <w:rPr>
          <w:color w:val="000000"/>
          <w:lang w:val="lv-LV"/>
        </w:rPr>
        <w:t>Pārtikas un veterinārā dienesta tīmekļa vietnē</w:t>
      </w:r>
      <w:r w:rsidR="002F224B">
        <w:rPr>
          <w:color w:val="000000"/>
          <w:lang w:val="lv-LV"/>
        </w:rPr>
        <w:t xml:space="preserve"> </w:t>
      </w:r>
      <w:r w:rsidR="002F224B" w:rsidRPr="00250ED0">
        <w:rPr>
          <w:lang w:val="lv-LV"/>
        </w:rPr>
        <w:t>www.pvd.gov.lv</w:t>
      </w:r>
      <w:r w:rsidR="002F224B" w:rsidRPr="007E176A" w:rsidDel="002F224B">
        <w:rPr>
          <w:rFonts w:ascii="Times New Roman" w:hAnsi="Times New Roman" w:cs="Times New Roman"/>
          <w:szCs w:val="22"/>
          <w:lang w:val="lv-LV"/>
        </w:rPr>
        <w:t xml:space="preserve"> </w:t>
      </w:r>
      <w:r w:rsidR="00A14A1A" w:rsidRPr="007E176A">
        <w:rPr>
          <w:rFonts w:ascii="Times New Roman" w:hAnsi="Times New Roman" w:cs="Times New Roman"/>
          <w:szCs w:val="22"/>
          <w:lang w:val="lv-LV"/>
        </w:rPr>
        <w:t>.</w:t>
      </w:r>
    </w:p>
    <w:p w14:paraId="15A0CD78" w14:textId="673ADFB0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8A45521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4F725D2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7.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MĒRĶA SUGAS</w:t>
      </w:r>
    </w:p>
    <w:p w14:paraId="2872D018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7A5E449" w14:textId="77777777" w:rsidR="004E5906" w:rsidRPr="007E176A" w:rsidRDefault="004E5906">
      <w:pPr>
        <w:pStyle w:val="Geenafstand1"/>
        <w:rPr>
          <w:rFonts w:ascii="Times New Roman" w:hAnsi="Times New Roman"/>
          <w:sz w:val="22"/>
          <w:szCs w:val="22"/>
          <w:lang w:val="lv-LV"/>
        </w:rPr>
      </w:pPr>
      <w:r w:rsidRPr="007E176A">
        <w:rPr>
          <w:rFonts w:ascii="Times New Roman" w:hAnsi="Times New Roman"/>
          <w:sz w:val="22"/>
          <w:szCs w:val="22"/>
          <w:lang w:val="lv-LV"/>
        </w:rPr>
        <w:t>Liellopi.</w:t>
      </w:r>
    </w:p>
    <w:p w14:paraId="1233ADDF" w14:textId="77777777" w:rsidR="004E5906" w:rsidRPr="007E176A" w:rsidRDefault="004E5906">
      <w:pPr>
        <w:pStyle w:val="Geenafstand1"/>
        <w:rPr>
          <w:rFonts w:ascii="Times New Roman" w:hAnsi="Times New Roman"/>
          <w:sz w:val="22"/>
          <w:szCs w:val="22"/>
          <w:lang w:val="lv-LV"/>
        </w:rPr>
      </w:pPr>
      <w:r w:rsidRPr="007E176A">
        <w:rPr>
          <w:rFonts w:ascii="Times New Roman" w:hAnsi="Times New Roman"/>
          <w:noProof/>
          <w:snapToGrid/>
          <w:sz w:val="22"/>
          <w:szCs w:val="22"/>
          <w:lang w:val="lv-LV" w:eastAsia="lv-LV"/>
        </w:rPr>
        <w:drawing>
          <wp:inline distT="0" distB="0" distL="0" distR="0" wp14:anchorId="7A6F042C" wp14:editId="0FFFF8B5">
            <wp:extent cx="1047750" cy="685800"/>
            <wp:effectExtent l="1905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A20652" w14:textId="3362A5EF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A849E95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9D96E79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8.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DEVAS ATKARĪBĀ NO DZĪVNIEKU SUGAS, LIETOŠANAS VEIDA UN METODES</w:t>
      </w:r>
    </w:p>
    <w:p w14:paraId="05700D60" w14:textId="77777777" w:rsidR="004E5906" w:rsidRPr="007E176A" w:rsidRDefault="004E5906" w:rsidP="007E176A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6BDC131" w14:textId="5DB8BEC6" w:rsidR="004E5906" w:rsidRPr="007E176A" w:rsidRDefault="004E5906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Intramuskulārai vai intravenozai </w:t>
      </w:r>
      <w:r w:rsidR="002763C6">
        <w:rPr>
          <w:rFonts w:ascii="Times New Roman" w:hAnsi="Times New Roman" w:cs="Times New Roman"/>
          <w:szCs w:val="22"/>
          <w:lang w:val="lv-LV"/>
        </w:rPr>
        <w:t>lietošanai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. </w:t>
      </w:r>
    </w:p>
    <w:p w14:paraId="28A939D0" w14:textId="195B89E5" w:rsidR="004E5906" w:rsidRPr="007E176A" w:rsidRDefault="004E5906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Intravenoz</w:t>
      </w:r>
      <w:r w:rsidR="002763C6">
        <w:rPr>
          <w:rFonts w:ascii="Times New Roman" w:hAnsi="Times New Roman" w:cs="Times New Roman"/>
          <w:szCs w:val="22"/>
          <w:lang w:val="lv-LV"/>
        </w:rPr>
        <w:t>u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injekcij</w:t>
      </w:r>
      <w:r w:rsidR="002763C6">
        <w:rPr>
          <w:rFonts w:ascii="Times New Roman" w:hAnsi="Times New Roman" w:cs="Times New Roman"/>
          <w:szCs w:val="22"/>
          <w:lang w:val="lv-LV"/>
        </w:rPr>
        <w:t>u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vei</w:t>
      </w:r>
      <w:r w:rsidR="002763C6">
        <w:rPr>
          <w:rFonts w:ascii="Times New Roman" w:hAnsi="Times New Roman" w:cs="Times New Roman"/>
          <w:szCs w:val="22"/>
          <w:lang w:val="lv-LV"/>
        </w:rPr>
        <w:t>kt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lēnām un nepieciešamības gadījumā pārtrau</w:t>
      </w:r>
      <w:r w:rsidR="002763C6">
        <w:rPr>
          <w:rFonts w:ascii="Times New Roman" w:hAnsi="Times New Roman" w:cs="Times New Roman"/>
          <w:szCs w:val="22"/>
          <w:lang w:val="lv-LV"/>
        </w:rPr>
        <w:t>kt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uz dažām minūtēm (skatīt 12. punktu).</w:t>
      </w:r>
    </w:p>
    <w:p w14:paraId="7F1B9F33" w14:textId="7777777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1B76209" w14:textId="49D4C906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Pieauguši</w:t>
      </w:r>
      <w:r w:rsidR="002763C6">
        <w:rPr>
          <w:rFonts w:ascii="Times New Roman" w:hAnsi="Times New Roman" w:cs="Times New Roman"/>
          <w:szCs w:val="22"/>
          <w:u w:val="single"/>
          <w:lang w:val="lv-LV"/>
        </w:rPr>
        <w:t>em</w:t>
      </w:r>
      <w:r w:rsidRPr="007E176A">
        <w:rPr>
          <w:rFonts w:ascii="Times New Roman" w:hAnsi="Times New Roman" w:cs="Times New Roman"/>
          <w:szCs w:val="22"/>
          <w:u w:val="single"/>
          <w:lang w:val="lv-LV"/>
        </w:rPr>
        <w:t xml:space="preserve"> dzīvnieki</w:t>
      </w:r>
      <w:r w:rsidR="002763C6">
        <w:rPr>
          <w:rFonts w:ascii="Times New Roman" w:hAnsi="Times New Roman" w:cs="Times New Roman"/>
          <w:szCs w:val="22"/>
          <w:u w:val="single"/>
          <w:lang w:val="lv-LV"/>
        </w:rPr>
        <w:t>em:</w:t>
      </w:r>
    </w:p>
    <w:p w14:paraId="5338CC82" w14:textId="7777777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0,5 mg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maleāta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>/ķermeņa svara kg (atbilst 5 ml/100 kg ķermeņa svara) vienu reizi dienā trīs dienas pēc kārtas.</w:t>
      </w:r>
    </w:p>
    <w:p w14:paraId="450A7DE1" w14:textId="7777777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</w:p>
    <w:p w14:paraId="3E8BF4BC" w14:textId="67F8AFE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Teļi</w:t>
      </w:r>
      <w:r w:rsidR="002763C6">
        <w:rPr>
          <w:rFonts w:ascii="Times New Roman" w:hAnsi="Times New Roman" w:cs="Times New Roman"/>
          <w:szCs w:val="22"/>
          <w:u w:val="single"/>
          <w:lang w:val="lv-LV"/>
        </w:rPr>
        <w:t>em:</w:t>
      </w:r>
    </w:p>
    <w:p w14:paraId="1A389B87" w14:textId="7777777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1 mg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maleāta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>/ķermeņa svara kg (atbilst 10 ml/100 kg ķermeņa svara) vienu reizi dienā trīs dienas pēc kārtas.</w:t>
      </w:r>
    </w:p>
    <w:p w14:paraId="08B34B9C" w14:textId="5B911ABD" w:rsidR="004E5906" w:rsidRDefault="004E5906" w:rsidP="007E176A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8BBA1DE" w14:textId="77777777" w:rsidR="007E176A" w:rsidRPr="007E176A" w:rsidRDefault="007E176A" w:rsidP="007E176A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16850AC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9.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IETEIKUMI PAREIZAI LIETOŠANAI</w:t>
      </w:r>
    </w:p>
    <w:p w14:paraId="79EBCEBE" w14:textId="013DC05B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9091C74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6673D51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10.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IEROBEŽOJUMU PERIODS(-I) DZĪVNIEKU PRODUKCIJAS IZMANTOŠANĀ</w:t>
      </w:r>
    </w:p>
    <w:p w14:paraId="21A834A7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i/>
          <w:szCs w:val="22"/>
          <w:lang w:val="lv-LV"/>
        </w:rPr>
      </w:pPr>
    </w:p>
    <w:p w14:paraId="4CF8B78B" w14:textId="7777777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Gaļai un blakusproduktiem: 1 diena</w:t>
      </w:r>
      <w:r w:rsidR="000F7323" w:rsidRPr="007E176A">
        <w:rPr>
          <w:rFonts w:ascii="Times New Roman" w:hAnsi="Times New Roman" w:cs="Times New Roman"/>
          <w:szCs w:val="22"/>
          <w:lang w:val="lv-LV"/>
        </w:rPr>
        <w:t>.</w:t>
      </w:r>
    </w:p>
    <w:p w14:paraId="7CA63745" w14:textId="77777777" w:rsidR="004E5906" w:rsidRPr="007E176A" w:rsidRDefault="004E5906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Pienam: 12 stundas</w:t>
      </w:r>
      <w:r w:rsidR="000F7323" w:rsidRPr="007E176A">
        <w:rPr>
          <w:rFonts w:ascii="Times New Roman" w:hAnsi="Times New Roman" w:cs="Times New Roman"/>
          <w:szCs w:val="22"/>
          <w:lang w:val="lv-LV"/>
        </w:rPr>
        <w:t>.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</w:p>
    <w:p w14:paraId="0FA341DD" w14:textId="2D956D3A" w:rsidR="004E5906" w:rsidRDefault="004E5906" w:rsidP="007E176A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88C1C44" w14:textId="77777777" w:rsidR="007E176A" w:rsidRPr="007E176A" w:rsidRDefault="007E176A" w:rsidP="007E176A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5226F11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11.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ĪPAŠI UZGLABĀŠANAS NORĀDĪJUMI</w:t>
      </w:r>
    </w:p>
    <w:p w14:paraId="150B7FFF" w14:textId="77777777" w:rsidR="004E5906" w:rsidRPr="007E176A" w:rsidRDefault="004E590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53A228A" w14:textId="77777777" w:rsidR="004E5906" w:rsidRPr="007E176A" w:rsidRDefault="004E5906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Uzglabāt bērniem neredzamā un nepieejamā vietā.</w:t>
      </w:r>
    </w:p>
    <w:p w14:paraId="524BFE38" w14:textId="77777777" w:rsidR="004E5906" w:rsidRPr="007E176A" w:rsidRDefault="004E5906" w:rsidP="00250ED0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Šīm veterinārajām zālēm nav nepieciešama īpaša uzglabāšanas temperatūra.</w:t>
      </w:r>
    </w:p>
    <w:p w14:paraId="48648E5F" w14:textId="61AFEB6E" w:rsidR="004E5906" w:rsidRDefault="004E5906" w:rsidP="007E176A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Uzglabāt oriģinālā iepakojumā, lai pasargātu no gaismas. Nelietot šīs veterinārās zāles, ja beidzies derīguma termiņš, kurš norādīts uz iepakojuma un marķējumā pēc EXP. Derīguma termiņš attiecināms uz mēneša pēdējo dienu.</w:t>
      </w:r>
      <w:r w:rsidRPr="007E176A">
        <w:rPr>
          <w:rFonts w:ascii="Times New Roman" w:hAnsi="Times New Roman" w:cs="Times New Roman"/>
          <w:szCs w:val="22"/>
          <w:lang w:val="lv-LV"/>
        </w:rPr>
        <w:br/>
        <w:t xml:space="preserve">Derīguma termiņš pēc pirmās </w:t>
      </w:r>
      <w:r w:rsidR="002763C6">
        <w:rPr>
          <w:rFonts w:ascii="Times New Roman" w:hAnsi="Times New Roman" w:cs="Times New Roman"/>
          <w:szCs w:val="22"/>
          <w:lang w:val="lv-LV"/>
        </w:rPr>
        <w:t xml:space="preserve">tiešā </w:t>
      </w:r>
      <w:r w:rsidRPr="007E176A">
        <w:rPr>
          <w:rFonts w:ascii="Times New Roman" w:hAnsi="Times New Roman" w:cs="Times New Roman"/>
          <w:szCs w:val="22"/>
          <w:lang w:val="lv-LV"/>
        </w:rPr>
        <w:t>iepakojuma atvēršanas: 56 dienas.</w:t>
      </w:r>
    </w:p>
    <w:p w14:paraId="3A2892F8" w14:textId="419B0278" w:rsidR="007E176A" w:rsidRDefault="007E176A" w:rsidP="007E176A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72BA8F48" w14:textId="77777777" w:rsidR="007E176A" w:rsidRPr="007E176A" w:rsidRDefault="007E176A" w:rsidP="00250ED0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54B6BF28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12.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ĪPAŠI BRĪDINĀJUMI</w:t>
      </w:r>
    </w:p>
    <w:p w14:paraId="01D049E9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EB02419" w14:textId="4C36DC75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Īpaši piesardzības pasākumi, lietojot dzīvniekiem</w:t>
      </w:r>
      <w:r w:rsidR="00337CE7">
        <w:rPr>
          <w:rFonts w:ascii="Times New Roman" w:hAnsi="Times New Roman" w:cs="Times New Roman"/>
          <w:szCs w:val="22"/>
          <w:u w:val="single"/>
          <w:lang w:val="lv-LV"/>
        </w:rPr>
        <w:t>:</w:t>
      </w:r>
    </w:p>
    <w:p w14:paraId="36658C41" w14:textId="67C5E1F1" w:rsidR="004E5906" w:rsidRPr="007E176A" w:rsidRDefault="002763C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Nel</w:t>
      </w:r>
      <w:r w:rsidR="004E5906" w:rsidRPr="007E176A">
        <w:rPr>
          <w:rFonts w:ascii="Times New Roman" w:hAnsi="Times New Roman" w:cs="Times New Roman"/>
          <w:szCs w:val="22"/>
          <w:lang w:val="lv-LV"/>
        </w:rPr>
        <w:t xml:space="preserve">ietot </w:t>
      </w:r>
      <w:proofErr w:type="spellStart"/>
      <w:r w:rsidR="004E5906" w:rsidRPr="007E176A">
        <w:rPr>
          <w:rFonts w:ascii="Times New Roman" w:hAnsi="Times New Roman" w:cs="Times New Roman"/>
          <w:szCs w:val="22"/>
          <w:lang w:val="lv-LV"/>
        </w:rPr>
        <w:t>subkutāni</w:t>
      </w:r>
      <w:proofErr w:type="spellEnd"/>
      <w:r w:rsidR="004E5906" w:rsidRPr="007E176A">
        <w:rPr>
          <w:rFonts w:ascii="Times New Roman" w:hAnsi="Times New Roman" w:cs="Times New Roman"/>
          <w:szCs w:val="22"/>
          <w:lang w:val="lv-LV"/>
        </w:rPr>
        <w:t>.</w:t>
      </w:r>
    </w:p>
    <w:p w14:paraId="70C27ACB" w14:textId="636253DB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Lai gan intravenoza ievadīšana nodrošina tūlītēju terapeitisku iedarbību, tā var radīt CNS kairinājumu. Tādēļ </w:t>
      </w:r>
      <w:r w:rsidR="002763C6">
        <w:rPr>
          <w:rFonts w:ascii="Times New Roman" w:hAnsi="Times New Roman" w:cs="Times New Roman"/>
          <w:szCs w:val="22"/>
          <w:lang w:val="lv-LV"/>
        </w:rPr>
        <w:t>šādas lietošanas gadījumā</w:t>
      </w:r>
      <w:r w:rsidR="00D16B8A">
        <w:rPr>
          <w:rFonts w:ascii="Times New Roman" w:hAnsi="Times New Roman" w:cs="Times New Roman"/>
          <w:szCs w:val="22"/>
          <w:lang w:val="lv-LV"/>
        </w:rPr>
        <w:t>,</w:t>
      </w:r>
      <w:r w:rsidR="002763C6">
        <w:rPr>
          <w:rFonts w:ascii="Times New Roman" w:hAnsi="Times New Roman" w:cs="Times New Roman"/>
          <w:szCs w:val="22"/>
          <w:lang w:val="lv-LV"/>
        </w:rPr>
        <w:t xml:space="preserve"> 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zāles </w:t>
      </w:r>
      <w:r w:rsidR="002763C6">
        <w:rPr>
          <w:rFonts w:ascii="Times New Roman" w:hAnsi="Times New Roman" w:cs="Times New Roman"/>
          <w:szCs w:val="22"/>
          <w:lang w:val="lv-LV"/>
        </w:rPr>
        <w:t xml:space="preserve">ievadīt </w:t>
      </w:r>
      <w:r w:rsidRPr="007E176A">
        <w:rPr>
          <w:rFonts w:ascii="Times New Roman" w:hAnsi="Times New Roman" w:cs="Times New Roman"/>
          <w:szCs w:val="22"/>
          <w:lang w:val="lv-LV"/>
        </w:rPr>
        <w:t>lēnām un nepieciešamības gadījumā pārtrau</w:t>
      </w:r>
      <w:r w:rsidR="002763C6">
        <w:rPr>
          <w:rFonts w:ascii="Times New Roman" w:hAnsi="Times New Roman" w:cs="Times New Roman"/>
          <w:szCs w:val="22"/>
          <w:lang w:val="lv-LV"/>
        </w:rPr>
        <w:t>kt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ievadīšanu uz </w:t>
      </w:r>
      <w:r w:rsidR="002763C6">
        <w:rPr>
          <w:rFonts w:ascii="Times New Roman" w:hAnsi="Times New Roman" w:cs="Times New Roman"/>
          <w:szCs w:val="22"/>
          <w:lang w:val="lv-LV"/>
        </w:rPr>
        <w:t>dažām</w:t>
      </w:r>
      <w:r w:rsidR="002763C6"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r w:rsidRPr="007E176A">
        <w:rPr>
          <w:rFonts w:ascii="Times New Roman" w:hAnsi="Times New Roman" w:cs="Times New Roman"/>
          <w:szCs w:val="22"/>
          <w:lang w:val="lv-LV"/>
        </w:rPr>
        <w:t>minūtēm.</w:t>
      </w:r>
    </w:p>
    <w:p w14:paraId="6FEDAE23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C3E603E" w14:textId="26F97CD6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lastRenderedPageBreak/>
        <w:t>Brīdinājumi lietotājam</w:t>
      </w:r>
      <w:r w:rsidR="00337CE7">
        <w:rPr>
          <w:rFonts w:ascii="Times New Roman" w:hAnsi="Times New Roman" w:cs="Times New Roman"/>
          <w:szCs w:val="22"/>
          <w:u w:val="single"/>
          <w:lang w:val="lv-LV"/>
        </w:rPr>
        <w:t>:</w:t>
      </w:r>
    </w:p>
    <w:p w14:paraId="4FFED0D0" w14:textId="3A9CB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Hlorfenamīns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var izraisīt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sedāciju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>.</w:t>
      </w:r>
      <w:r w:rsidR="00E90298" w:rsidRPr="00250ED0">
        <w:rPr>
          <w:rFonts w:ascii="Times New Roman" w:hAnsi="Times New Roman" w:cs="Times New Roman"/>
          <w:szCs w:val="22"/>
          <w:lang w:val="lv-LV"/>
        </w:rPr>
        <w:t xml:space="preserve"> Nekavējoties nomazgāt izšļakstījumus no ādas un acīm.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r w:rsidR="00337CE7">
        <w:rPr>
          <w:rFonts w:ascii="Times New Roman" w:hAnsi="Times New Roman" w:cs="Times New Roman"/>
          <w:szCs w:val="22"/>
          <w:lang w:val="lv-LV"/>
        </w:rPr>
        <w:t>P</w:t>
      </w:r>
      <w:r w:rsidRPr="007E176A">
        <w:rPr>
          <w:rFonts w:ascii="Times New Roman" w:hAnsi="Times New Roman" w:cs="Times New Roman"/>
          <w:szCs w:val="22"/>
          <w:lang w:val="lv-LV"/>
        </w:rPr>
        <w:t>iemēro</w:t>
      </w:r>
      <w:r w:rsidR="00337CE7">
        <w:rPr>
          <w:rFonts w:ascii="Times New Roman" w:hAnsi="Times New Roman" w:cs="Times New Roman"/>
          <w:szCs w:val="22"/>
          <w:lang w:val="lv-LV"/>
        </w:rPr>
        <w:t>t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 piesardzības pasākum</w:t>
      </w:r>
      <w:r w:rsidR="00337CE7">
        <w:rPr>
          <w:rFonts w:ascii="Times New Roman" w:hAnsi="Times New Roman" w:cs="Times New Roman"/>
          <w:szCs w:val="22"/>
          <w:lang w:val="lv-LV"/>
        </w:rPr>
        <w:t>us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, lai novērstu nejaušu šo zāļu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pašinjicēšanu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>. Līdz injekcijas brīdim ieteicams izmantot adatu ar aizsargu. Ja notikusi nejauša (gadījuma rakstura) pašinjicēšana, nekavējoties meklēt medicīnisko palīdzību un uzrādīt lietošanas instrukciju vai iepakojuma marķējumu ārstam. NEVAD</w:t>
      </w:r>
      <w:r w:rsidR="00337CE7">
        <w:rPr>
          <w:rFonts w:ascii="Times New Roman" w:hAnsi="Times New Roman" w:cs="Times New Roman"/>
          <w:szCs w:val="22"/>
          <w:lang w:val="lv-LV"/>
        </w:rPr>
        <w:t>Ī</w:t>
      </w:r>
      <w:r w:rsidRPr="007E176A">
        <w:rPr>
          <w:rFonts w:ascii="Times New Roman" w:hAnsi="Times New Roman" w:cs="Times New Roman"/>
          <w:szCs w:val="22"/>
          <w:lang w:val="lv-LV"/>
        </w:rPr>
        <w:t xml:space="preserve">T TRANSPORTLĪDZEKLI. </w:t>
      </w:r>
    </w:p>
    <w:p w14:paraId="7D9D8E6E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</w:p>
    <w:p w14:paraId="206E0E1F" w14:textId="63BBB08C" w:rsidR="004E5906" w:rsidRPr="007E176A" w:rsidRDefault="00B83CD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G</w:t>
      </w:r>
      <w:r w:rsidR="004E5906" w:rsidRPr="007E176A">
        <w:rPr>
          <w:rFonts w:ascii="Times New Roman" w:hAnsi="Times New Roman" w:cs="Times New Roman"/>
          <w:szCs w:val="22"/>
          <w:u w:val="single"/>
          <w:lang w:val="lv-LV"/>
        </w:rPr>
        <w:t>rūsnība un laktācija</w:t>
      </w:r>
      <w:r w:rsidR="004E5906" w:rsidRPr="007E176A">
        <w:rPr>
          <w:rFonts w:ascii="Times New Roman" w:hAnsi="Times New Roman" w:cs="Times New Roman"/>
          <w:szCs w:val="22"/>
          <w:lang w:val="lv-LV"/>
        </w:rPr>
        <w:t>:</w:t>
      </w:r>
    </w:p>
    <w:p w14:paraId="39206DFD" w14:textId="3270E8E4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Nav pierādīts šo zāļu </w:t>
      </w:r>
      <w:r w:rsidR="00337CE7">
        <w:rPr>
          <w:rFonts w:ascii="Times New Roman" w:hAnsi="Times New Roman" w:cs="Times New Roman"/>
          <w:szCs w:val="22"/>
          <w:lang w:val="lv-LV"/>
        </w:rPr>
        <w:t>drošums</w:t>
      </w:r>
      <w:r w:rsidR="00337CE7"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r w:rsidRPr="007E176A">
        <w:rPr>
          <w:rFonts w:ascii="Times New Roman" w:hAnsi="Times New Roman" w:cs="Times New Roman"/>
          <w:szCs w:val="22"/>
          <w:lang w:val="lv-LV"/>
        </w:rPr>
        <w:t>grūsnības un laktācijas laikā. Lietot tikai pēc ārstējošā veterinārārsta ieguvuma un riska attiecības izvērtēšanas.</w:t>
      </w:r>
    </w:p>
    <w:p w14:paraId="2C285BA0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34FE55D" w14:textId="60DA04DD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Mijiedarbība ar citām zālēm un citi mijiedarbības veidi</w:t>
      </w:r>
      <w:r w:rsidR="00337CE7">
        <w:rPr>
          <w:rFonts w:ascii="Times New Roman" w:hAnsi="Times New Roman" w:cs="Times New Roman"/>
          <w:szCs w:val="22"/>
          <w:u w:val="single"/>
          <w:lang w:val="lv-LV"/>
        </w:rPr>
        <w:t>:</w:t>
      </w:r>
    </w:p>
    <w:p w14:paraId="4B1EEB43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Vienlaicīga citu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antihistamīna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līdzekļu vai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barbiturātu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lietošana var pastiprināt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sedatīvo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iedarbību.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Antihistamīna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līdzekļu lietošana var maskēt dažu antibakteriālo līdzekļu (t.i.,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aminoglikozīdu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un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makrolīdu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) radītās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ototoksicitātes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agrīnās pazīmes, kā arī saīsināt iekšķīgi lietojamo </w:t>
      </w:r>
      <w:proofErr w:type="spellStart"/>
      <w:r w:rsidRPr="007E176A">
        <w:rPr>
          <w:rFonts w:ascii="Times New Roman" w:hAnsi="Times New Roman" w:cs="Times New Roman"/>
          <w:szCs w:val="22"/>
          <w:lang w:val="lv-LV"/>
        </w:rPr>
        <w:t>antikoagulantu</w:t>
      </w:r>
      <w:proofErr w:type="spellEnd"/>
      <w:r w:rsidRPr="007E176A">
        <w:rPr>
          <w:rFonts w:ascii="Times New Roman" w:hAnsi="Times New Roman" w:cs="Times New Roman"/>
          <w:szCs w:val="22"/>
          <w:lang w:val="lv-LV"/>
        </w:rPr>
        <w:t xml:space="preserve"> iedarbības laiku.</w:t>
      </w:r>
    </w:p>
    <w:p w14:paraId="7C34584E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F2CA8E9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7E176A">
        <w:rPr>
          <w:rFonts w:ascii="Times New Roman" w:hAnsi="Times New Roman" w:cs="Times New Roman"/>
          <w:szCs w:val="22"/>
          <w:u w:val="single"/>
          <w:lang w:val="lv-LV"/>
        </w:rPr>
        <w:t>antidoti</w:t>
      </w:r>
      <w:proofErr w:type="spellEnd"/>
      <w:r w:rsidRPr="007E176A">
        <w:rPr>
          <w:rFonts w:ascii="Times New Roman" w:hAnsi="Times New Roman" w:cs="Times New Roman"/>
          <w:szCs w:val="22"/>
          <w:u w:val="single"/>
          <w:lang w:val="lv-LV"/>
        </w:rPr>
        <w:t>)</w:t>
      </w:r>
      <w:r w:rsidRPr="007E176A">
        <w:rPr>
          <w:rFonts w:ascii="Times New Roman" w:hAnsi="Times New Roman" w:cs="Times New Roman"/>
          <w:szCs w:val="22"/>
          <w:lang w:val="lv-LV"/>
        </w:rPr>
        <w:t>:</w:t>
      </w:r>
    </w:p>
    <w:p w14:paraId="6F58E728" w14:textId="77777777" w:rsidR="004E5906" w:rsidRPr="007E176A" w:rsidRDefault="004E5906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Devām, kas līdz četrām reizēm pārsniedza terapeitisko devu, bija laba panesamība. Ļoti retos gadījumos injekcijas vietā tika novērotas lokālas reakcijas. Visas reakcijas bija pārejošas un izzuda bez ārstēšanas.</w:t>
      </w:r>
    </w:p>
    <w:p w14:paraId="40A8D4C1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</w:p>
    <w:p w14:paraId="27F6C742" w14:textId="77777777" w:rsidR="004E5906" w:rsidRPr="007E176A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u w:val="single"/>
          <w:lang w:val="lv-LV"/>
        </w:rPr>
        <w:t>Nesaderība</w:t>
      </w:r>
      <w:r w:rsidRPr="007E176A">
        <w:rPr>
          <w:rFonts w:ascii="Times New Roman" w:hAnsi="Times New Roman" w:cs="Times New Roman"/>
          <w:szCs w:val="22"/>
          <w:lang w:val="lv-LV"/>
        </w:rPr>
        <w:t>:</w:t>
      </w:r>
    </w:p>
    <w:p w14:paraId="4146EBF8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Tā kā nav veikti saderības pētījumi, šīs veterinārās zāles nedrīkst lietot maisījumā ar citām veterinārajām zālēm.</w:t>
      </w:r>
    </w:p>
    <w:p w14:paraId="58D75D63" w14:textId="7A17A740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8784A3E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9268611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13.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ĪPAŠI NORĀDĪJUMI NEIZLIETOTU VETERINĀRO ZĀĻU VAI TO ATKRITUMU IZNĪCINĀŠANAI</w:t>
      </w:r>
    </w:p>
    <w:p w14:paraId="35F2119E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29AB344" w14:textId="77777777" w:rsidR="004E5906" w:rsidRPr="007E176A" w:rsidRDefault="004E5906">
      <w:pPr>
        <w:tabs>
          <w:tab w:val="clear" w:pos="567"/>
        </w:tabs>
        <w:spacing w:line="240" w:lineRule="auto"/>
        <w:ind w:right="-318"/>
        <w:rPr>
          <w:rFonts w:ascii="Times New Roman" w:hAnsi="Times New Roman" w:cs="Times New Roman"/>
          <w:i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>Jebkuras neizlietotas veterinārās zāles vai to atkritumi jāiznīcina saskaņā ar nacionālajiem tiesību aktiem.</w:t>
      </w:r>
    </w:p>
    <w:p w14:paraId="23DBFB84" w14:textId="39C52070" w:rsidR="004E5906" w:rsidRDefault="004E5906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A7A4286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94CB931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14.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DATUMS, KAD LIETOŠANAS INSTRUKCIJA PĒDĒJO REIZI TIKA APSTIPRINĀTA</w:t>
      </w:r>
    </w:p>
    <w:p w14:paraId="1F695628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43637B1" w14:textId="00FDED9C" w:rsidR="004E5906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05/2022</w:t>
      </w:r>
    </w:p>
    <w:p w14:paraId="68A973DE" w14:textId="696890BD" w:rsid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B859646" w14:textId="77777777" w:rsidR="007E176A" w:rsidRPr="007E176A" w:rsidRDefault="007E176A" w:rsidP="007E176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F037032" w14:textId="77777777" w:rsidR="004E5906" w:rsidRPr="007E176A" w:rsidRDefault="004E5906" w:rsidP="00250ED0">
      <w:pP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b/>
          <w:szCs w:val="22"/>
          <w:highlight w:val="lightGray"/>
          <w:lang w:val="lv-LV"/>
        </w:rPr>
        <w:t>15.</w:t>
      </w:r>
      <w:r w:rsidRPr="007E176A">
        <w:rPr>
          <w:rFonts w:ascii="Times New Roman" w:hAnsi="Times New Roman" w:cs="Times New Roman"/>
          <w:b/>
          <w:szCs w:val="22"/>
          <w:lang w:val="lv-LV"/>
        </w:rPr>
        <w:tab/>
        <w:t>CITA INFORMĀCIJA</w:t>
      </w:r>
    </w:p>
    <w:p w14:paraId="01F4016A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8E6EB6B" w14:textId="77777777" w:rsidR="004E5906" w:rsidRPr="007E176A" w:rsidRDefault="004E5906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left="10" w:hanging="10"/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 w:rsidRPr="007E176A">
        <w:rPr>
          <w:rFonts w:ascii="Times New Roman" w:hAnsi="Times New Roman" w:cs="Times New Roman"/>
          <w:color w:val="000000"/>
          <w:szCs w:val="22"/>
          <w:lang w:val="lv-LV"/>
        </w:rPr>
        <w:t xml:space="preserve">Caurspīdīgi II tipa stikla flakoni un polipropilēna flakoni, kas satur 100 ml vai 250 ml, noslēgti ar pārklātu </w:t>
      </w:r>
      <w:proofErr w:type="spellStart"/>
      <w:r w:rsidRPr="007E176A">
        <w:rPr>
          <w:rFonts w:ascii="Times New Roman" w:hAnsi="Times New Roman" w:cs="Times New Roman"/>
          <w:color w:val="000000"/>
          <w:szCs w:val="22"/>
          <w:lang w:val="lv-LV"/>
        </w:rPr>
        <w:t>brombutila</w:t>
      </w:r>
      <w:proofErr w:type="spellEnd"/>
      <w:r w:rsidRPr="007E176A">
        <w:rPr>
          <w:rFonts w:ascii="Times New Roman" w:hAnsi="Times New Roman" w:cs="Times New Roman"/>
          <w:color w:val="000000"/>
          <w:szCs w:val="22"/>
          <w:lang w:val="lv-LV"/>
        </w:rPr>
        <w:t xml:space="preserve"> gumijas aizbāzni un alumīnija vāciņu un ievietoti kartona kastīt</w:t>
      </w:r>
      <w:r w:rsidR="000F7323" w:rsidRPr="007E176A">
        <w:rPr>
          <w:rFonts w:ascii="Times New Roman" w:hAnsi="Times New Roman" w:cs="Times New Roman"/>
          <w:color w:val="000000"/>
          <w:szCs w:val="22"/>
          <w:lang w:val="lv-LV"/>
        </w:rPr>
        <w:t>ē</w:t>
      </w:r>
      <w:r w:rsidRPr="007E176A">
        <w:rPr>
          <w:rFonts w:ascii="Times New Roman" w:hAnsi="Times New Roman" w:cs="Times New Roman"/>
          <w:color w:val="000000"/>
          <w:szCs w:val="22"/>
          <w:lang w:val="lv-LV"/>
        </w:rPr>
        <w:t>.</w:t>
      </w:r>
    </w:p>
    <w:p w14:paraId="1DE22C49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7E176A">
        <w:rPr>
          <w:rFonts w:ascii="Times New Roman" w:hAnsi="Times New Roman" w:cs="Times New Roman"/>
          <w:szCs w:val="22"/>
          <w:lang w:val="lv-LV"/>
        </w:rPr>
        <w:t xml:space="preserve">Ne visi iepakojuma izmēri var tikt izplatīti. </w:t>
      </w:r>
    </w:p>
    <w:p w14:paraId="08C9B0C6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C8F525E" w14:textId="77777777" w:rsidR="004E5906" w:rsidRPr="007E176A" w:rsidRDefault="004E5906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157A558" w14:textId="77777777" w:rsidR="008C7BB9" w:rsidRPr="00250ED0" w:rsidRDefault="008C7BB9" w:rsidP="00250ED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sectPr w:rsidR="008C7BB9" w:rsidRPr="00250ED0" w:rsidSect="00DE43A1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4EAE9" w14:textId="77777777" w:rsidR="00503AB9" w:rsidRDefault="00503AB9">
      <w:pPr>
        <w:spacing w:line="240" w:lineRule="auto"/>
      </w:pPr>
      <w:r>
        <w:separator/>
      </w:r>
    </w:p>
  </w:endnote>
  <w:endnote w:type="continuationSeparator" w:id="0">
    <w:p w14:paraId="49A8C7BB" w14:textId="77777777" w:rsidR="00503AB9" w:rsidRDefault="00503A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F84536" w14:textId="77777777" w:rsidR="00DE43A1" w:rsidRDefault="004E5906">
    <w:pPr>
      <w:pStyle w:val="Footer"/>
      <w:tabs>
        <w:tab w:val="clear" w:pos="8930"/>
        <w:tab w:val="right" w:pos="8931"/>
      </w:tabs>
      <w:jc w:val="center"/>
      <w:rPr>
        <w:rFonts w:asciiTheme="minorBidi" w:hAnsiTheme="minorBidi"/>
        <w:szCs w:val="24"/>
        <w:lang w:val="el-GR"/>
      </w:rPr>
    </w:pPr>
    <w:r>
      <w:rPr>
        <w:rFonts w:asciiTheme="minorBidi" w:hAnsiTheme="minorBidi"/>
        <w:szCs w:val="24"/>
      </w:rPr>
      <w:fldChar w:fldCharType="begin"/>
    </w:r>
    <w:r>
      <w:rPr>
        <w:rFonts w:asciiTheme="minorBidi" w:hAnsiTheme="minorBidi"/>
        <w:szCs w:val="24"/>
      </w:rPr>
      <w:instrText xml:space="preserve"> PAGE  \* MERGEFORMAT </w:instrText>
    </w:r>
    <w:r>
      <w:rPr>
        <w:rFonts w:asciiTheme="minorBidi" w:hAnsiTheme="minorBidi"/>
        <w:szCs w:val="24"/>
      </w:rPr>
      <w:fldChar w:fldCharType="separate"/>
    </w:r>
    <w:r w:rsidR="003B3CCF">
      <w:rPr>
        <w:rFonts w:asciiTheme="minorBidi" w:hAnsiTheme="minorBidi"/>
        <w:noProof/>
        <w:szCs w:val="24"/>
      </w:rPr>
      <w:t>3</w:t>
    </w:r>
    <w:r>
      <w:rPr>
        <w:rFonts w:asciiTheme="minorBidi" w:hAnsiTheme="minorBidi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C95BB" w14:textId="77777777" w:rsidR="00DE43A1" w:rsidRDefault="004E5906">
    <w:pPr>
      <w:pStyle w:val="Footer"/>
      <w:tabs>
        <w:tab w:val="clear" w:pos="8930"/>
        <w:tab w:val="right" w:pos="8931"/>
      </w:tabs>
      <w:jc w:val="center"/>
      <w:rPr>
        <w:rFonts w:asciiTheme="minorBidi" w:hAnsiTheme="minorBidi"/>
        <w:szCs w:val="24"/>
        <w:lang w:val="el-GR"/>
      </w:rPr>
    </w:pPr>
    <w:r>
      <w:rPr>
        <w:szCs w:val="24"/>
      </w:rPr>
      <w:fldChar w:fldCharType="begin"/>
    </w:r>
    <w:r>
      <w:rPr>
        <w:szCs w:val="24"/>
      </w:rPr>
      <w:instrText xml:space="preserve"> PAGE  \* MERGEFORMAT </w:instrText>
    </w:r>
    <w:r>
      <w:rPr>
        <w:szCs w:val="24"/>
      </w:rPr>
      <w:fldChar w:fldCharType="separate"/>
    </w:r>
    <w:r>
      <w:rPr>
        <w:noProof/>
        <w:szCs w:val="24"/>
      </w:rPr>
      <w:t>1</w:t>
    </w:r>
    <w:r>
      <w:rPr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03B5D" w14:textId="77777777" w:rsidR="00503AB9" w:rsidRDefault="00503AB9">
      <w:pPr>
        <w:spacing w:line="240" w:lineRule="auto"/>
      </w:pPr>
      <w:r>
        <w:separator/>
      </w:r>
    </w:p>
  </w:footnote>
  <w:footnote w:type="continuationSeparator" w:id="0">
    <w:p w14:paraId="1AB329F3" w14:textId="77777777" w:rsidR="00503AB9" w:rsidRDefault="00503AB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BB9"/>
    <w:rsid w:val="000408FE"/>
    <w:rsid w:val="000D142A"/>
    <w:rsid w:val="000F7323"/>
    <w:rsid w:val="00250ED0"/>
    <w:rsid w:val="002763C6"/>
    <w:rsid w:val="002F224B"/>
    <w:rsid w:val="003044D2"/>
    <w:rsid w:val="00337CE7"/>
    <w:rsid w:val="003B3CCF"/>
    <w:rsid w:val="004E5906"/>
    <w:rsid w:val="00503AB9"/>
    <w:rsid w:val="00775CA6"/>
    <w:rsid w:val="007A6975"/>
    <w:rsid w:val="007E176A"/>
    <w:rsid w:val="008C7BB9"/>
    <w:rsid w:val="00A14A1A"/>
    <w:rsid w:val="00A16667"/>
    <w:rsid w:val="00AA7991"/>
    <w:rsid w:val="00AF4584"/>
    <w:rsid w:val="00B72CBD"/>
    <w:rsid w:val="00B83CD9"/>
    <w:rsid w:val="00C371A0"/>
    <w:rsid w:val="00D16B8A"/>
    <w:rsid w:val="00E9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B0485"/>
  <w15:docId w15:val="{DFD4D31F-6C34-4FED-8C49-D7D2D7EB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BB9"/>
    <w:pPr>
      <w:tabs>
        <w:tab w:val="left" w:pos="567"/>
      </w:tabs>
      <w:spacing w:after="0" w:line="260" w:lineRule="exact"/>
    </w:pPr>
    <w:rPr>
      <w:rFonts w:asciiTheme="minorBidi" w:eastAsia="Times New Roman" w:hAnsiTheme="minorBidi"/>
      <w:snapToGrid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eenafstand1">
    <w:name w:val="Geen afstand1"/>
    <w:uiPriority w:val="1"/>
    <w:qFormat/>
    <w:rsid w:val="008C7BB9"/>
    <w:pPr>
      <w:spacing w:after="0" w:line="240" w:lineRule="auto"/>
    </w:pPr>
    <w:rPr>
      <w:rFonts w:ascii="Cambria" w:eastAsia="Times New Roman" w:hAnsi="Cambria" w:cs="Times New Roman"/>
      <w:snapToGrid w:val="0"/>
      <w:sz w:val="24"/>
      <w:szCs w:val="24"/>
      <w:lang w:val="en-US"/>
    </w:rPr>
  </w:style>
  <w:style w:type="paragraph" w:customStyle="1" w:styleId="BODY">
    <w:name w:val="BODY"/>
    <w:basedOn w:val="Normal"/>
    <w:qFormat/>
    <w:rsid w:val="008C7BB9"/>
    <w:pPr>
      <w:spacing w:after="220" w:line="240" w:lineRule="auto"/>
      <w:contextualSpacing/>
    </w:pPr>
  </w:style>
  <w:style w:type="character" w:styleId="Emphasis">
    <w:name w:val="Emphasis"/>
    <w:basedOn w:val="DefaultParagraphFont"/>
    <w:uiPriority w:val="99"/>
    <w:qFormat/>
    <w:rsid w:val="008C7BB9"/>
    <w:rPr>
      <w:rFonts w:cstheme="minorBidi"/>
      <w:i/>
      <w:iCs/>
    </w:rPr>
  </w:style>
  <w:style w:type="paragraph" w:styleId="Footer">
    <w:name w:val="footer"/>
    <w:basedOn w:val="Normal"/>
    <w:link w:val="FooterChar"/>
    <w:uiPriority w:val="99"/>
    <w:rsid w:val="004E590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4E5906"/>
    <w:rPr>
      <w:rFonts w:ascii="Helvetica" w:eastAsia="Times New Roman" w:hAnsi="Helvetica"/>
      <w:snapToGrid w:val="0"/>
      <w:sz w:val="16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5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584"/>
    <w:rPr>
      <w:rFonts w:ascii="Tahoma" w:eastAsia="Times New Roman" w:hAnsi="Tahoma" w:cs="Tahoma"/>
      <w:snapToGrid w:val="0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3050</Words>
  <Characters>1739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