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7EA" w:rsidRPr="00DA21FF" w:rsidRDefault="006B57EA" w:rsidP="00466B5F">
      <w:pPr>
        <w:tabs>
          <w:tab w:val="clear" w:pos="567"/>
        </w:tabs>
        <w:spacing w:line="240" w:lineRule="auto"/>
        <w:ind w:right="113"/>
        <w:jc w:val="center"/>
        <w:rPr>
          <w:color w:val="000000"/>
          <w:szCs w:val="22"/>
          <w:lang w:val="lv-LV"/>
        </w:rPr>
      </w:pPr>
      <w:bookmarkStart w:id="0" w:name="_GoBack"/>
      <w:bookmarkEnd w:id="0"/>
      <w:r w:rsidRPr="00DA21FF">
        <w:rPr>
          <w:b/>
          <w:color w:val="000000"/>
          <w:szCs w:val="22"/>
          <w:lang w:val="lv-LV"/>
        </w:rPr>
        <w:t>LIETOŠANAS INSTRUKCIJA</w:t>
      </w:r>
    </w:p>
    <w:p w:rsidR="006B57EA" w:rsidRPr="00DA21FF" w:rsidRDefault="006B57EA" w:rsidP="00466B5F">
      <w:pPr>
        <w:spacing w:line="240" w:lineRule="auto"/>
        <w:jc w:val="center"/>
        <w:rPr>
          <w:b/>
          <w:szCs w:val="22"/>
        </w:rPr>
      </w:pPr>
      <w:r w:rsidRPr="00DA21FF">
        <w:rPr>
          <w:b/>
          <w:szCs w:val="22"/>
        </w:rPr>
        <w:t>V/NRP/00/1232</w:t>
      </w:r>
    </w:p>
    <w:p w:rsidR="006B57EA" w:rsidRPr="00DA21FF" w:rsidRDefault="006B57EA" w:rsidP="00466B5F">
      <w:pPr>
        <w:spacing w:line="240" w:lineRule="auto"/>
        <w:jc w:val="center"/>
        <w:rPr>
          <w:b/>
          <w:szCs w:val="22"/>
          <w:lang w:val="lv-LV"/>
        </w:rPr>
      </w:pPr>
      <w:r w:rsidRPr="00DA21FF">
        <w:rPr>
          <w:b/>
          <w:szCs w:val="22"/>
          <w:lang w:val="lv-LV"/>
        </w:rPr>
        <w:t>Vitaminthe</w:t>
      </w:r>
      <w:r w:rsidR="00A75EAE" w:rsidRPr="00DA21FF">
        <w:rPr>
          <w:b/>
          <w:szCs w:val="22"/>
          <w:lang w:val="lv-LV"/>
        </w:rPr>
        <w:t xml:space="preserve"> pasta iekšķīgai lietošanai suņiem un kaķiem</w:t>
      </w:r>
    </w:p>
    <w:p w:rsidR="006B57EA" w:rsidRPr="00DA21FF" w:rsidRDefault="006B57EA" w:rsidP="00466B5F">
      <w:pPr>
        <w:spacing w:line="240" w:lineRule="auto"/>
        <w:ind w:left="567" w:hanging="567"/>
        <w:jc w:val="center"/>
        <w:rPr>
          <w:color w:val="000000"/>
          <w:szCs w:val="22"/>
          <w:lang w:val="lv-LV"/>
        </w:rPr>
      </w:pPr>
    </w:p>
    <w:p w:rsidR="006B57EA" w:rsidRPr="00DA21FF" w:rsidRDefault="006B57EA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1.</w:t>
      </w:r>
      <w:r w:rsidRPr="00DA21FF">
        <w:rPr>
          <w:b/>
          <w:color w:val="000000"/>
          <w:szCs w:val="22"/>
          <w:lang w:val="lv-LV"/>
        </w:rPr>
        <w:tab/>
        <w:t>REĢISTRĀCIJAS APLIECĪBAS ĪPAŠNIEKA UN RAŽOŠANAS LICENCES TURĒTĀJA, KURŠ ATBILD PAR SĒRIJAS IZLAIDI, NOSAUKUMS UN ADRESE, JA DAŽĀDI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u w:val="single"/>
          <w:lang w:val="lv-LV"/>
        </w:rPr>
        <w:t>Reģistrācijas apliecības īpašnieks un par sērijas izlaidi atbildīgais ražotājs</w:t>
      </w:r>
      <w:r w:rsidRPr="00DA21FF">
        <w:rPr>
          <w:color w:val="000000"/>
          <w:szCs w:val="22"/>
          <w:lang w:val="lv-LV"/>
        </w:rPr>
        <w:t>:</w:t>
      </w:r>
    </w:p>
    <w:p w:rsidR="006B57EA" w:rsidRPr="00DA21FF" w:rsidRDefault="00A75EAE" w:rsidP="00466B5F">
      <w:pPr>
        <w:autoSpaceDE w:val="0"/>
        <w:autoSpaceDN w:val="0"/>
        <w:adjustRightInd w:val="0"/>
        <w:spacing w:line="240" w:lineRule="auto"/>
        <w:rPr>
          <w:szCs w:val="22"/>
          <w:lang w:val="fr-FR"/>
        </w:rPr>
      </w:pPr>
      <w:r w:rsidRPr="00DA21FF">
        <w:rPr>
          <w:szCs w:val="22"/>
          <w:lang w:val="lv-LV"/>
        </w:rPr>
        <w:t>Virbac S.A.</w:t>
      </w:r>
    </w:p>
    <w:p w:rsidR="006B57EA" w:rsidRPr="00DA21FF" w:rsidRDefault="00A75EAE" w:rsidP="00466B5F">
      <w:pPr>
        <w:autoSpaceDE w:val="0"/>
        <w:autoSpaceDN w:val="0"/>
        <w:adjustRightInd w:val="0"/>
        <w:spacing w:line="240" w:lineRule="auto"/>
        <w:rPr>
          <w:szCs w:val="22"/>
          <w:lang w:val="fr-FR"/>
        </w:rPr>
      </w:pPr>
      <w:r w:rsidRPr="00DA21FF">
        <w:rPr>
          <w:szCs w:val="22"/>
          <w:lang w:val="lv-LV"/>
        </w:rPr>
        <w:t xml:space="preserve">1ère Avenue </w:t>
      </w:r>
      <w:smartTag w:uri="urn:schemas-microsoft-com:office:smarttags" w:element="metricconverter">
        <w:smartTagPr>
          <w:attr w:name="ProductID" w:val="2065 M"/>
        </w:smartTagPr>
        <w:r w:rsidRPr="00DA21FF">
          <w:rPr>
            <w:szCs w:val="22"/>
            <w:lang w:val="lv-LV"/>
          </w:rPr>
          <w:t>2065 M</w:t>
        </w:r>
      </w:smartTag>
      <w:r w:rsidRPr="00DA21FF">
        <w:rPr>
          <w:szCs w:val="22"/>
          <w:lang w:val="lv-LV"/>
        </w:rPr>
        <w:t xml:space="preserve"> L.I.D.</w:t>
      </w:r>
    </w:p>
    <w:p w:rsidR="006B57EA" w:rsidRPr="00DA21FF" w:rsidRDefault="00A75EAE" w:rsidP="00466B5F">
      <w:pPr>
        <w:autoSpaceDE w:val="0"/>
        <w:autoSpaceDN w:val="0"/>
        <w:adjustRightInd w:val="0"/>
        <w:spacing w:line="240" w:lineRule="auto"/>
        <w:rPr>
          <w:szCs w:val="22"/>
          <w:lang w:val="fr-FR"/>
        </w:rPr>
      </w:pPr>
      <w:r w:rsidRPr="00DA21FF">
        <w:rPr>
          <w:szCs w:val="22"/>
          <w:lang w:val="lv-LV"/>
        </w:rPr>
        <w:t>06516 Carros</w:t>
      </w:r>
    </w:p>
    <w:p w:rsidR="006B57EA" w:rsidRPr="00DA21FF" w:rsidRDefault="00A75EAE" w:rsidP="00466B5F">
      <w:pPr>
        <w:autoSpaceDE w:val="0"/>
        <w:autoSpaceDN w:val="0"/>
        <w:adjustRightInd w:val="0"/>
        <w:spacing w:line="240" w:lineRule="auto"/>
        <w:rPr>
          <w:szCs w:val="22"/>
          <w:lang w:val="fr-FR"/>
        </w:rPr>
      </w:pPr>
      <w:r w:rsidRPr="00DA21FF">
        <w:rPr>
          <w:szCs w:val="22"/>
          <w:lang w:val="lv-LV"/>
        </w:rPr>
        <w:t>Francija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2.</w:t>
      </w:r>
      <w:r w:rsidRPr="00DA21FF">
        <w:rPr>
          <w:b/>
          <w:color w:val="000000"/>
          <w:szCs w:val="22"/>
          <w:lang w:val="lv-LV"/>
        </w:rPr>
        <w:tab/>
        <w:t xml:space="preserve">VETERINĀRO ZĀĻU NOSAUKUMS  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rPr>
          <w:szCs w:val="22"/>
          <w:lang w:val="lv-LV"/>
        </w:rPr>
      </w:pPr>
      <w:r w:rsidRPr="00DA21FF">
        <w:rPr>
          <w:b/>
          <w:szCs w:val="22"/>
          <w:lang w:val="lv-LV"/>
        </w:rPr>
        <w:t>Vitaminthe</w:t>
      </w:r>
      <w:r w:rsidRPr="00DA21FF">
        <w:rPr>
          <w:szCs w:val="22"/>
          <w:lang w:val="lv-LV"/>
        </w:rPr>
        <w:t xml:space="preserve"> pasta iekšķīgai lietošanai suņiem un kaķiem</w:t>
      </w:r>
    </w:p>
    <w:p w:rsidR="006B57EA" w:rsidRPr="00DA21FF" w:rsidRDefault="006B57EA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6B57EA" w:rsidRPr="00DA21FF" w:rsidRDefault="006B57EA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3.</w:t>
      </w:r>
      <w:r w:rsidRPr="00DA21FF">
        <w:rPr>
          <w:b/>
          <w:color w:val="000000"/>
          <w:szCs w:val="22"/>
          <w:lang w:val="lv-LV"/>
        </w:rPr>
        <w:tab/>
        <w:t>AKTĪVO</w:t>
      </w:r>
      <w:r w:rsidR="00FF7539">
        <w:rPr>
          <w:b/>
          <w:color w:val="000000"/>
          <w:szCs w:val="22"/>
          <w:lang w:val="lv-LV"/>
        </w:rPr>
        <w:t xml:space="preserve"> </w:t>
      </w:r>
      <w:r w:rsidRPr="00DA21FF">
        <w:rPr>
          <w:b/>
          <w:color w:val="000000"/>
          <w:szCs w:val="22"/>
          <w:lang w:val="lv-LV"/>
        </w:rPr>
        <w:t xml:space="preserve">VIELU UN CITU VIELU </w:t>
      </w:r>
      <w:r w:rsidR="005D0BDE">
        <w:rPr>
          <w:b/>
          <w:color w:val="000000"/>
          <w:szCs w:val="22"/>
          <w:lang w:val="lv-LV"/>
        </w:rPr>
        <w:t>NOSAUKUMS</w:t>
      </w:r>
      <w:r w:rsidR="005D0BDE" w:rsidRPr="00DA21FF">
        <w:rPr>
          <w:b/>
          <w:color w:val="000000"/>
          <w:szCs w:val="22"/>
          <w:lang w:val="lv-LV"/>
        </w:rPr>
        <w:t xml:space="preserve"> </w:t>
      </w:r>
    </w:p>
    <w:p w:rsidR="006B57EA" w:rsidRPr="00DA21FF" w:rsidRDefault="006B57EA" w:rsidP="00466B5F">
      <w:pPr>
        <w:spacing w:line="240" w:lineRule="auto"/>
        <w:rPr>
          <w:b/>
          <w:bCs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1 ml pastas satur:</w:t>
      </w:r>
    </w:p>
    <w:p w:rsidR="00275705" w:rsidRPr="00DA21FF" w:rsidRDefault="00275705" w:rsidP="00466B5F">
      <w:pPr>
        <w:spacing w:line="240" w:lineRule="auto"/>
        <w:jc w:val="both"/>
        <w:rPr>
          <w:b/>
          <w:bCs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jc w:val="both"/>
        <w:rPr>
          <w:b/>
          <w:bCs/>
          <w:szCs w:val="22"/>
          <w:lang w:val="lv-LV"/>
        </w:rPr>
      </w:pPr>
      <w:r w:rsidRPr="00DA21FF">
        <w:rPr>
          <w:b/>
          <w:bCs/>
          <w:szCs w:val="22"/>
          <w:lang w:val="lv-LV"/>
        </w:rPr>
        <w:t>Aktīvās vielas:</w:t>
      </w:r>
    </w:p>
    <w:p w:rsidR="006B57EA" w:rsidRPr="00DA21FF" w:rsidRDefault="008D3EFC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 xml:space="preserve">Niklozamīds </w:t>
      </w:r>
      <w:r w:rsidRPr="00DA21FF">
        <w:rPr>
          <w:szCs w:val="22"/>
          <w:lang w:val="lv-LV"/>
        </w:rPr>
        <w:tab/>
      </w:r>
      <w:r w:rsidRPr="00DA21FF">
        <w:rPr>
          <w:szCs w:val="22"/>
          <w:lang w:val="lv-LV"/>
        </w:rPr>
        <w:tab/>
      </w:r>
      <w:r w:rsidR="00466B5F">
        <w:rPr>
          <w:szCs w:val="22"/>
          <w:lang w:val="lv-LV"/>
        </w:rPr>
        <w:t xml:space="preserve"> 0, 24 g</w:t>
      </w:r>
    </w:p>
    <w:p w:rsidR="006B57EA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 xml:space="preserve">Oksibendazols </w:t>
      </w:r>
      <w:r w:rsidRPr="00DA21FF">
        <w:rPr>
          <w:szCs w:val="22"/>
          <w:lang w:val="lv-LV"/>
        </w:rPr>
        <w:tab/>
      </w:r>
      <w:r w:rsidRPr="00DA21FF">
        <w:rPr>
          <w:szCs w:val="22"/>
          <w:lang w:val="lv-LV"/>
        </w:rPr>
        <w:tab/>
      </w:r>
      <w:r w:rsidR="009D4A33">
        <w:rPr>
          <w:szCs w:val="22"/>
          <w:lang w:val="lv-LV"/>
        </w:rPr>
        <w:t xml:space="preserve"> </w:t>
      </w:r>
      <w:r w:rsidR="00466B5F">
        <w:rPr>
          <w:szCs w:val="22"/>
          <w:lang w:val="lv-LV"/>
        </w:rPr>
        <w:t>0, 0</w:t>
      </w:r>
      <w:r w:rsidR="009D4A33">
        <w:rPr>
          <w:szCs w:val="22"/>
          <w:lang w:val="lv-LV"/>
        </w:rPr>
        <w:t>3</w:t>
      </w:r>
      <w:r w:rsidR="00466B5F">
        <w:rPr>
          <w:szCs w:val="22"/>
          <w:lang w:val="lv-LV"/>
        </w:rPr>
        <w:t xml:space="preserve"> </w:t>
      </w:r>
      <w:r w:rsidR="009D4A33">
        <w:rPr>
          <w:szCs w:val="22"/>
          <w:lang w:val="lv-LV"/>
        </w:rPr>
        <w:t>g</w:t>
      </w:r>
    </w:p>
    <w:p w:rsidR="006B57EA" w:rsidRPr="00DA21FF" w:rsidRDefault="006B57EA" w:rsidP="00466B5F">
      <w:pPr>
        <w:spacing w:line="240" w:lineRule="auto"/>
        <w:jc w:val="both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b/>
          <w:bCs/>
          <w:color w:val="000000"/>
          <w:szCs w:val="22"/>
          <w:lang w:val="lv-LV"/>
        </w:rPr>
        <w:t>Palīgvielas:</w:t>
      </w:r>
    </w:p>
    <w:p w:rsidR="006B57EA" w:rsidRPr="00DA21FF" w:rsidRDefault="00A75EAE" w:rsidP="00466B5F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Nātrija bisulfīds, n</w:t>
      </w:r>
      <w:r w:rsidRPr="00DA21FF">
        <w:rPr>
          <w:bCs/>
          <w:color w:val="252525"/>
          <w:szCs w:val="22"/>
          <w:shd w:val="clear" w:color="auto" w:fill="FFFFFF"/>
          <w:lang w:val="lv-LV"/>
        </w:rPr>
        <w:t>ātrija benzoāts</w:t>
      </w:r>
      <w:r w:rsidR="006B57EA" w:rsidRPr="00DA21FF">
        <w:rPr>
          <w:szCs w:val="22"/>
          <w:lang w:val="lv-LV"/>
        </w:rPr>
        <w:t xml:space="preserve">, dekvalīna hlorīds, ksantāna sveķi, nātrija polinaftalēna sulfonāts, dimetikons 300, nātrija </w:t>
      </w:r>
      <w:r w:rsidRPr="00DA21FF">
        <w:rPr>
          <w:szCs w:val="22"/>
          <w:lang w:val="lv-LV"/>
        </w:rPr>
        <w:t>ciklamāts, anšovu pulveris, pretputu līdzeklis 70426, attīrīts ūdens.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275705" w:rsidRPr="00DA21FF" w:rsidRDefault="00A75EAE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Dzeltena līdz brūna pasta.</w:t>
      </w:r>
    </w:p>
    <w:p w:rsidR="00275705" w:rsidRPr="00DA21FF" w:rsidRDefault="00275705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 w:rsidRPr="00DA21FF">
        <w:rPr>
          <w:b/>
          <w:color w:val="000000"/>
          <w:szCs w:val="22"/>
          <w:lang w:val="lv-LV"/>
        </w:rPr>
        <w:tab/>
      </w:r>
    </w:p>
    <w:p w:rsidR="006B57EA" w:rsidRPr="00DA21FF" w:rsidRDefault="00A75EAE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4.</w:t>
      </w:r>
      <w:r w:rsidRPr="00DA21FF">
        <w:rPr>
          <w:b/>
          <w:color w:val="000000"/>
          <w:szCs w:val="22"/>
          <w:lang w:val="lv-LV"/>
        </w:rPr>
        <w:tab/>
        <w:t>INDIKĀCIJA(</w:t>
      </w:r>
      <w:r w:rsidR="005D0BDE">
        <w:rPr>
          <w:b/>
          <w:color w:val="000000"/>
          <w:szCs w:val="22"/>
          <w:lang w:val="lv-LV"/>
        </w:rPr>
        <w:t>-</w:t>
      </w:r>
      <w:r w:rsidRPr="00DA21FF">
        <w:rPr>
          <w:b/>
          <w:color w:val="000000"/>
          <w:szCs w:val="22"/>
          <w:lang w:val="lv-LV"/>
        </w:rPr>
        <w:t>S)</w:t>
      </w:r>
    </w:p>
    <w:p w:rsidR="006B57EA" w:rsidRPr="00DA21FF" w:rsidRDefault="006B57EA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DA21FF" w:rsidRPr="00DA21FF" w:rsidRDefault="00466B5F" w:rsidP="00466B5F">
      <w:pPr>
        <w:tabs>
          <w:tab w:val="clear" w:pos="567"/>
        </w:tabs>
        <w:spacing w:line="240" w:lineRule="auto"/>
        <w:jc w:val="both"/>
        <w:rPr>
          <w:rFonts w:eastAsia="Calibri"/>
          <w:bCs/>
          <w:iCs/>
          <w:szCs w:val="22"/>
          <w:lang w:val="lv-LV" w:eastAsia="et-EE"/>
        </w:rPr>
      </w:pPr>
      <w:r>
        <w:rPr>
          <w:rFonts w:eastAsia="Calibri"/>
          <w:bCs/>
          <w:iCs/>
          <w:szCs w:val="22"/>
          <w:lang w:val="lv-LV" w:eastAsia="et-EE"/>
        </w:rPr>
        <w:t>L</w:t>
      </w:r>
      <w:r w:rsidR="00DA21FF" w:rsidRPr="00DA21FF">
        <w:rPr>
          <w:rFonts w:eastAsia="Calibri"/>
          <w:bCs/>
          <w:iCs/>
          <w:szCs w:val="22"/>
          <w:lang w:val="lv-LV" w:eastAsia="et-EE"/>
        </w:rPr>
        <w:t>enteņu, un cērmju (</w:t>
      </w:r>
      <w:r w:rsidR="00DA21FF" w:rsidRPr="00DA21FF">
        <w:rPr>
          <w:rFonts w:eastAsia="Calibri"/>
          <w:bCs/>
          <w:i/>
          <w:iCs/>
          <w:szCs w:val="22"/>
          <w:lang w:val="lv-LV" w:eastAsia="et-EE"/>
        </w:rPr>
        <w:t>Toxocara canis, T. cati, Toxascaris leonina, Ancylostoma caninum, Uncinaria stenocephala, Dipylidium caninum</w:t>
      </w:r>
      <w:r w:rsidR="00DA21FF" w:rsidRPr="00DA21FF">
        <w:rPr>
          <w:rFonts w:eastAsia="Calibri"/>
          <w:bCs/>
          <w:iCs/>
          <w:szCs w:val="22"/>
          <w:lang w:val="lv-LV" w:eastAsia="et-EE"/>
        </w:rPr>
        <w:t>) invāzijas ārstēšanai suņiem un kaķiem.</w:t>
      </w:r>
    </w:p>
    <w:p w:rsidR="00DA21FF" w:rsidRDefault="00DA21FF" w:rsidP="00466B5F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:rsidR="00DA21FF" w:rsidRPr="00DA21FF" w:rsidRDefault="00DA21FF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5.</w:t>
      </w:r>
      <w:r w:rsidRPr="00DA21FF">
        <w:rPr>
          <w:b/>
          <w:color w:val="000000"/>
          <w:szCs w:val="22"/>
          <w:lang w:val="lv-LV"/>
        </w:rPr>
        <w:tab/>
        <w:t>KONTRINDIKĀCIJAS</w:t>
      </w:r>
    </w:p>
    <w:p w:rsidR="006B57EA" w:rsidRPr="00DA21FF" w:rsidRDefault="006B57EA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DA21FF" w:rsidRPr="00DA21FF" w:rsidRDefault="00DA21FF" w:rsidP="00466B5F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Nelietot kaķēniem vai kucēniem, jaunākiem par 6 nedēļām.</w:t>
      </w:r>
    </w:p>
    <w:p w:rsidR="00DA21FF" w:rsidRPr="00DA21FF" w:rsidRDefault="00DA21FF" w:rsidP="00466B5F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 xml:space="preserve">Nelietot diarejas vai zarnu nosprostojuma gadījumā. </w:t>
      </w:r>
    </w:p>
    <w:p w:rsidR="00DA21FF" w:rsidRPr="00DA21FF" w:rsidRDefault="00DA21FF" w:rsidP="00466B5F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Nelietot dzīvniekiem ar zināmu pastiprinātu jutību pret kādu no aktīvajām vielām vai pret palīgvielām.</w:t>
      </w:r>
    </w:p>
    <w:p w:rsidR="006B57EA" w:rsidRDefault="00DA21FF" w:rsidP="00466B5F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Nelietot gadījumos, ja ir aizdomas par rezistenci pret benzimidazoliem.</w:t>
      </w:r>
    </w:p>
    <w:p w:rsidR="00DA21FF" w:rsidRPr="00DA21FF" w:rsidRDefault="00DA21FF" w:rsidP="00466B5F">
      <w:pPr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:rsidR="006B57EA" w:rsidRPr="00DA21FF" w:rsidRDefault="006B57EA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6.</w:t>
      </w:r>
      <w:r w:rsidRPr="00DA21FF">
        <w:rPr>
          <w:b/>
          <w:color w:val="000000"/>
          <w:szCs w:val="22"/>
          <w:lang w:val="lv-LV"/>
        </w:rPr>
        <w:tab/>
        <w:t>IESPĒJAMĀS BLAKUSPARĀDĪBAS</w:t>
      </w:r>
    </w:p>
    <w:p w:rsidR="006B57EA" w:rsidRPr="00DA21FF" w:rsidRDefault="006B57EA" w:rsidP="00466B5F">
      <w:pPr>
        <w:pStyle w:val="NormalWeb"/>
        <w:spacing w:before="0" w:beforeAutospacing="0" w:after="0" w:afterAutospacing="0"/>
        <w:rPr>
          <w:sz w:val="22"/>
          <w:szCs w:val="22"/>
          <w:lang w:val="lv-LV"/>
        </w:rPr>
      </w:pPr>
    </w:p>
    <w:p w:rsidR="00D12045" w:rsidRPr="00D12045" w:rsidRDefault="00FF7539" w:rsidP="00466B5F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Reti </w:t>
      </w:r>
      <w:r w:rsidR="00D12045" w:rsidRPr="00D12045">
        <w:rPr>
          <w:color w:val="000000"/>
          <w:szCs w:val="22"/>
          <w:lang w:val="lv-LV"/>
        </w:rPr>
        <w:t xml:space="preserve">var novērot pārejošus gremošanas traucējumus (diareju, vemšanu). </w:t>
      </w:r>
    </w:p>
    <w:p w:rsidR="006B57EA" w:rsidRDefault="00D12045" w:rsidP="00466B5F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D12045">
        <w:rPr>
          <w:color w:val="000000"/>
          <w:szCs w:val="22"/>
          <w:lang w:val="lv-LV"/>
        </w:rPr>
        <w:t>Ī</w:t>
      </w:r>
      <w:r>
        <w:rPr>
          <w:color w:val="000000"/>
          <w:szCs w:val="22"/>
          <w:lang w:val="lv-LV"/>
        </w:rPr>
        <w:t>slaicī</w:t>
      </w:r>
      <w:r w:rsidRPr="00D12045">
        <w:rPr>
          <w:color w:val="000000"/>
          <w:szCs w:val="22"/>
          <w:lang w:val="lv-LV"/>
        </w:rPr>
        <w:t>gi var novērot mīkstas fekālijas.</w:t>
      </w:r>
    </w:p>
    <w:p w:rsidR="00EB7865" w:rsidRDefault="00EB7865" w:rsidP="00466B5F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EB7865" w:rsidRDefault="00EB7865" w:rsidP="00EB7865">
      <w:pPr>
        <w:spacing w:line="240" w:lineRule="auto"/>
        <w:rPr>
          <w:szCs w:val="22"/>
          <w:lang w:val="lv-LV"/>
        </w:rPr>
      </w:pPr>
      <w:r w:rsidRPr="004D1FD3">
        <w:rPr>
          <w:szCs w:val="22"/>
          <w:lang w:val="lv-LV"/>
        </w:rPr>
        <w:t>Ret</w:t>
      </w:r>
      <w:r>
        <w:rPr>
          <w:szCs w:val="22"/>
          <w:lang w:val="lv-LV"/>
        </w:rPr>
        <w:t>i</w:t>
      </w:r>
      <w:r w:rsidRPr="004D1FD3">
        <w:rPr>
          <w:szCs w:val="22"/>
          <w:lang w:val="lv-LV"/>
        </w:rPr>
        <w:t xml:space="preserve"> var novērot letarģiju un neiroloģiskas pazīmes (piemēram, trīci, ataksiju un </w:t>
      </w:r>
      <w:r>
        <w:rPr>
          <w:szCs w:val="22"/>
          <w:lang w:val="lv-LV"/>
        </w:rPr>
        <w:t>grīļošanos</w:t>
      </w:r>
      <w:r w:rsidRPr="004D1FD3">
        <w:rPr>
          <w:szCs w:val="22"/>
          <w:lang w:val="lv-LV"/>
        </w:rPr>
        <w:t>).</w:t>
      </w:r>
    </w:p>
    <w:p w:rsidR="00EB7865" w:rsidRDefault="00EB7865" w:rsidP="00EB7865">
      <w:pPr>
        <w:spacing w:line="240" w:lineRule="auto"/>
        <w:rPr>
          <w:szCs w:val="22"/>
          <w:lang w:val="lv-LV"/>
        </w:rPr>
      </w:pPr>
      <w:r w:rsidRPr="009C3A7E">
        <w:rPr>
          <w:szCs w:val="22"/>
          <w:lang w:val="lv-LV"/>
        </w:rPr>
        <w:t>Veterināro zāļu blakusparādību sastopamības biežums norādīts sekojošā secībā:</w:t>
      </w:r>
    </w:p>
    <w:p w:rsidR="00EB7865" w:rsidRDefault="00EB7865" w:rsidP="00EB7865">
      <w:pPr>
        <w:spacing w:line="240" w:lineRule="auto"/>
        <w:rPr>
          <w:szCs w:val="22"/>
          <w:lang w:val="lv-LV"/>
        </w:rPr>
      </w:pPr>
      <w:r w:rsidRPr="004E2A95">
        <w:rPr>
          <w:szCs w:val="22"/>
          <w:lang w:val="lv-LV"/>
        </w:rPr>
        <w:lastRenderedPageBreak/>
        <w:t xml:space="preserve">- </w:t>
      </w:r>
      <w:r w:rsidRPr="00C52B26">
        <w:rPr>
          <w:szCs w:val="22"/>
          <w:lang w:val="lv-LV"/>
        </w:rPr>
        <w:t>ļoti bieži (vairāk nekā 1 no 10 ārstētajiem dzīvniekiem novērota(-s) nevēlama(-s) blakusparādība(-s));</w:t>
      </w:r>
    </w:p>
    <w:p w:rsidR="00EB7865" w:rsidRDefault="00EB7865" w:rsidP="00EB7865">
      <w:pPr>
        <w:spacing w:line="240" w:lineRule="auto"/>
        <w:rPr>
          <w:szCs w:val="22"/>
          <w:lang w:val="lv-LV"/>
        </w:rPr>
      </w:pPr>
      <w:r w:rsidRPr="004E2A95">
        <w:rPr>
          <w:szCs w:val="22"/>
          <w:lang w:val="lv-LV"/>
        </w:rPr>
        <w:t xml:space="preserve">- </w:t>
      </w:r>
      <w:r w:rsidRPr="00C52B26">
        <w:rPr>
          <w:szCs w:val="22"/>
          <w:lang w:val="lv-LV"/>
        </w:rPr>
        <w:t>bieži (vairāk nekā 1, bet mazāk nekā 10 dzīvniekiem no 100 ārstētajiem dzīvniekiem);</w:t>
      </w:r>
    </w:p>
    <w:p w:rsidR="00EB7865" w:rsidRDefault="00EB7865" w:rsidP="00EB7865">
      <w:pPr>
        <w:spacing w:line="240" w:lineRule="auto"/>
        <w:rPr>
          <w:szCs w:val="22"/>
          <w:lang w:val="lv-LV"/>
        </w:rPr>
      </w:pPr>
      <w:r w:rsidRPr="004E2A95">
        <w:rPr>
          <w:szCs w:val="22"/>
          <w:lang w:val="lv-LV"/>
        </w:rPr>
        <w:t xml:space="preserve">- </w:t>
      </w:r>
      <w:r w:rsidRPr="00B318DF">
        <w:rPr>
          <w:szCs w:val="22"/>
          <w:lang w:val="lv-LV"/>
        </w:rPr>
        <w:t>retāk (vairāk nekā 1, bet mazāk nekā 10 dzīvniekiem no 1000 ārstētajiem dzīvniekiem);</w:t>
      </w:r>
    </w:p>
    <w:p w:rsidR="00EB7865" w:rsidRDefault="00EB7865" w:rsidP="00EB7865">
      <w:pPr>
        <w:spacing w:line="240" w:lineRule="auto"/>
        <w:rPr>
          <w:szCs w:val="22"/>
          <w:lang w:val="lv-LV"/>
        </w:rPr>
      </w:pPr>
      <w:r w:rsidRPr="004E2A95">
        <w:rPr>
          <w:szCs w:val="22"/>
          <w:lang w:val="lv-LV"/>
        </w:rPr>
        <w:t xml:space="preserve">- </w:t>
      </w:r>
      <w:r w:rsidRPr="004A16C3">
        <w:rPr>
          <w:szCs w:val="22"/>
          <w:lang w:val="lv-LV"/>
        </w:rPr>
        <w:t>reti (vairāk nekā 1, bet mazāk nekā 10 dzīvniekiem no 10 000 ārstētajiem dzīvniekiem);</w:t>
      </w:r>
    </w:p>
    <w:p w:rsidR="00EB7865" w:rsidRDefault="00EB7865" w:rsidP="00EB786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4E2A95">
        <w:rPr>
          <w:szCs w:val="22"/>
          <w:lang w:val="lv-LV"/>
        </w:rPr>
        <w:t xml:space="preserve">- </w:t>
      </w:r>
      <w:r w:rsidRPr="006A2CBC">
        <w:rPr>
          <w:szCs w:val="22"/>
          <w:lang w:val="lv-LV"/>
        </w:rPr>
        <w:t>ļoti reti (mazāk nekā 1 dzīvniekam no 10 000 ārstētajiem dzīvniekiem, ieskaitot atsevišķus ziņojumus)</w:t>
      </w:r>
      <w:r>
        <w:rPr>
          <w:szCs w:val="22"/>
          <w:lang w:val="lv-LV"/>
        </w:rPr>
        <w:t>.</w:t>
      </w:r>
    </w:p>
    <w:p w:rsidR="00EB7865" w:rsidRDefault="00EB7865" w:rsidP="00EB7865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:rsidR="00DA21FF" w:rsidRPr="00DA21FF" w:rsidRDefault="005D0BDE" w:rsidP="00466B5F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5D0BDE">
        <w:rPr>
          <w:color w:val="000000"/>
          <w:szCs w:val="22"/>
          <w:lang w:val="lv-LV"/>
        </w:rPr>
        <w:t>Ja novērojat jebkuras būtiskas blakusparādības vai citu iedarbību, kas nav minētas šajā lietošanas instrukcijā, lūdzu, informējiet par tām savu veterinārārstu.</w:t>
      </w:r>
    </w:p>
    <w:p w:rsidR="006B57EA" w:rsidRPr="00DA21FF" w:rsidRDefault="006B57EA" w:rsidP="00466B5F">
      <w:pPr>
        <w:spacing w:line="240" w:lineRule="auto"/>
        <w:rPr>
          <w:b/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7.</w:t>
      </w:r>
      <w:r w:rsidRPr="00DA21FF">
        <w:rPr>
          <w:b/>
          <w:color w:val="000000"/>
          <w:szCs w:val="22"/>
          <w:lang w:val="lv-LV"/>
        </w:rPr>
        <w:tab/>
        <w:t>MĒRĶA SUGAS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Suņi, kaķi.</w:t>
      </w:r>
    </w:p>
    <w:p w:rsidR="006B57EA" w:rsidRPr="00DA21FF" w:rsidRDefault="006B57EA" w:rsidP="00466B5F">
      <w:pPr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6B57EA" w:rsidP="00466B5F">
      <w:pPr>
        <w:spacing w:line="240" w:lineRule="auto"/>
        <w:rPr>
          <w:b/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8.</w:t>
      </w:r>
      <w:r w:rsidRPr="00DA21FF">
        <w:rPr>
          <w:b/>
          <w:color w:val="000000"/>
          <w:szCs w:val="22"/>
          <w:lang w:val="lv-LV"/>
        </w:rPr>
        <w:tab/>
        <w:t>DEVAS ATKARĪBĀ NO DZĪVNIEKU SUGAS, LIETOŠANAS VEIDA UN METODES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Iekšķīgai lietošanai.</w:t>
      </w:r>
    </w:p>
    <w:p w:rsidR="006B57EA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Lietot 15 mg oksibendazola un 120 mg niklozamīda, kas atbilst 0,5 ml pastas, uz vienu kilogramu ķermeņa svara.</w:t>
      </w:r>
    </w:p>
    <w:p w:rsidR="00275705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Lai nodrošinātu pareizu devu, ķermeņa svars ir jānosaka pēc iespējas precīzāk.</w:t>
      </w:r>
    </w:p>
    <w:p w:rsidR="00275705" w:rsidRPr="00DA21FF" w:rsidRDefault="00275705" w:rsidP="00466B5F">
      <w:pPr>
        <w:spacing w:line="240" w:lineRule="auto"/>
        <w:jc w:val="both"/>
        <w:rPr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5 ml šļirce: katra iedaļa atbilst 0,5 kg ķermeņa svara.</w:t>
      </w:r>
    </w:p>
    <w:p w:rsidR="006B57EA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 xml:space="preserve">10 ml šļirce: katra iedaļa atbilst </w:t>
      </w:r>
      <w:smartTag w:uri="urn:schemas-microsoft-com:office:smarttags" w:element="metricconverter">
        <w:smartTagPr>
          <w:attr w:name="ProductID" w:val="2 kg"/>
        </w:smartTagPr>
        <w:r w:rsidRPr="00DA21FF">
          <w:rPr>
            <w:szCs w:val="22"/>
            <w:lang w:val="lv-LV"/>
          </w:rPr>
          <w:t>2 kg</w:t>
        </w:r>
      </w:smartTag>
      <w:r w:rsidRPr="00DA21FF">
        <w:rPr>
          <w:szCs w:val="22"/>
          <w:lang w:val="lv-LV"/>
        </w:rPr>
        <w:t xml:space="preserve"> ķermeņa svara.</w:t>
      </w:r>
    </w:p>
    <w:p w:rsidR="006B57EA" w:rsidRPr="00DA21FF" w:rsidRDefault="00A75EAE" w:rsidP="00466B5F">
      <w:pPr>
        <w:spacing w:line="240" w:lineRule="auto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 xml:space="preserve">25 ml šļirce: katra iedaļa atbilst </w:t>
      </w:r>
      <w:smartTag w:uri="urn:schemas-microsoft-com:office:smarttags" w:element="metricconverter">
        <w:smartTagPr>
          <w:attr w:name="ProductID" w:val="10 kg"/>
        </w:smartTagPr>
        <w:r w:rsidRPr="00DA21FF">
          <w:rPr>
            <w:szCs w:val="22"/>
            <w:lang w:val="lv-LV"/>
          </w:rPr>
          <w:t>10 kg</w:t>
        </w:r>
      </w:smartTag>
      <w:r w:rsidRPr="00DA21FF">
        <w:rPr>
          <w:szCs w:val="22"/>
          <w:lang w:val="lv-LV"/>
        </w:rPr>
        <w:t xml:space="preserve"> ķermeņa svara.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9.</w:t>
      </w:r>
      <w:r w:rsidRPr="00DA21FF">
        <w:rPr>
          <w:b/>
          <w:color w:val="000000"/>
          <w:szCs w:val="22"/>
          <w:lang w:val="lv-LV"/>
        </w:rPr>
        <w:tab/>
        <w:t xml:space="preserve">IETEIKUMI PAREIZAI LIETOŠANAI 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DA21FF" w:rsidRPr="00DA21FF" w:rsidRDefault="00DA21FF" w:rsidP="00466B5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Zāles lietot vienas devas veidā uz dzīvnieka mēles vai sajaucot ar barību.</w:t>
      </w:r>
    </w:p>
    <w:p w:rsidR="00DA21FF" w:rsidRPr="00DA21FF" w:rsidRDefault="00DA21FF" w:rsidP="00466B5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Kucēniem un kaķēniem: lietot divas reizes ar 4 nedēļu intervālu, laikā no 6. līdz 12. dzīves nedēļai.</w:t>
      </w:r>
    </w:p>
    <w:p w:rsidR="00DA21FF" w:rsidRPr="00DA21FF" w:rsidRDefault="00DA21FF" w:rsidP="00466B5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Pieaugušiem dzīvniekiem: lietot reizi 6 mēnešos.</w:t>
      </w:r>
    </w:p>
    <w:p w:rsidR="00DA21FF" w:rsidRDefault="00DA21FF" w:rsidP="00466B5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Sieviešu kārtas dzīvniekiem: lietot 3 reizes gadā — pārošanas laikā, vienu nedēļu pirms dzemdībām un</w:t>
      </w:r>
      <w:r>
        <w:rPr>
          <w:szCs w:val="22"/>
          <w:lang w:val="lv-LV"/>
        </w:rPr>
        <w:t xml:space="preserve"> </w:t>
      </w:r>
    </w:p>
    <w:p w:rsidR="00DA21FF" w:rsidRDefault="00DA21FF" w:rsidP="00466B5F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DA21FF">
        <w:rPr>
          <w:szCs w:val="22"/>
          <w:lang w:val="lv-LV"/>
        </w:rPr>
        <w:t>3–4 nedēļas pēc dzemdībām.</w:t>
      </w:r>
    </w:p>
    <w:p w:rsidR="00DA21FF" w:rsidRDefault="00DA21FF" w:rsidP="00466B5F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  <w:lang w:val="lv-LV"/>
        </w:rPr>
      </w:pPr>
    </w:p>
    <w:p w:rsidR="00DA21FF" w:rsidRPr="00DA21FF" w:rsidRDefault="00DA21FF" w:rsidP="00466B5F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10.</w:t>
      </w:r>
      <w:r w:rsidRPr="00DA21FF">
        <w:rPr>
          <w:b/>
          <w:color w:val="000000"/>
          <w:szCs w:val="22"/>
          <w:lang w:val="lv-LV"/>
        </w:rPr>
        <w:tab/>
        <w:t>IEROBEŽOJUMU PERIODS(</w:t>
      </w:r>
      <w:r w:rsidR="00D12045">
        <w:rPr>
          <w:b/>
          <w:color w:val="000000"/>
          <w:szCs w:val="22"/>
          <w:lang w:val="lv-LV"/>
        </w:rPr>
        <w:t>-</w:t>
      </w:r>
      <w:r w:rsidRPr="00DA21FF">
        <w:rPr>
          <w:b/>
          <w:color w:val="000000"/>
          <w:szCs w:val="22"/>
          <w:lang w:val="lv-LV"/>
        </w:rPr>
        <w:t xml:space="preserve">I) DZĪVNIEKU PRODUKCIJAS IZMANTOŠANĀ 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Nav piemērojams.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11.</w:t>
      </w:r>
      <w:r w:rsidRPr="00DA21FF">
        <w:rPr>
          <w:b/>
          <w:color w:val="000000"/>
          <w:szCs w:val="22"/>
          <w:lang w:val="lv-LV"/>
        </w:rPr>
        <w:tab/>
        <w:t>ĪPAŠI UZGL</w:t>
      </w:r>
      <w:r w:rsidRPr="00DA21FF">
        <w:rPr>
          <w:b/>
          <w:caps/>
          <w:color w:val="000000"/>
          <w:szCs w:val="22"/>
          <w:lang w:val="lv-LV"/>
        </w:rPr>
        <w:t xml:space="preserve">abāšanaS </w:t>
      </w:r>
      <w:r w:rsidRPr="00DA21FF">
        <w:rPr>
          <w:b/>
          <w:color w:val="000000"/>
          <w:szCs w:val="22"/>
          <w:lang w:val="lv-LV"/>
        </w:rPr>
        <w:t>NORĀDĪJUMI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  <w:lang w:val="lv-LV"/>
        </w:rPr>
      </w:pPr>
      <w:r w:rsidRPr="00DA21FF">
        <w:rPr>
          <w:noProof/>
          <w:szCs w:val="22"/>
          <w:lang w:val="lv-LV"/>
        </w:rPr>
        <w:t xml:space="preserve">Uzglabāt bērniem </w:t>
      </w:r>
      <w:r w:rsidR="00D12045" w:rsidRPr="00BE4C17">
        <w:rPr>
          <w:noProof/>
          <w:szCs w:val="22"/>
          <w:lang w:val="lv-LV"/>
        </w:rPr>
        <w:t xml:space="preserve">neredzamā un </w:t>
      </w:r>
      <w:r w:rsidRPr="00DA21FF">
        <w:rPr>
          <w:noProof/>
          <w:szCs w:val="22"/>
          <w:lang w:val="lv-LV"/>
        </w:rPr>
        <w:t>nepieejamā vietā.</w:t>
      </w:r>
    </w:p>
    <w:p w:rsidR="006B57EA" w:rsidRPr="00DA21FF" w:rsidRDefault="00A75EAE" w:rsidP="00466B5F">
      <w:pPr>
        <w:spacing w:line="240" w:lineRule="auto"/>
        <w:jc w:val="both"/>
        <w:rPr>
          <w:color w:val="000000"/>
          <w:szCs w:val="22"/>
          <w:lang w:val="lv-LV"/>
        </w:rPr>
      </w:pPr>
      <w:r w:rsidRPr="00DA21FF">
        <w:rPr>
          <w:szCs w:val="22"/>
          <w:lang w:val="lv-LV"/>
        </w:rPr>
        <w:t>Uzglabāt temperatūrā līdz 25</w:t>
      </w:r>
      <w:r w:rsidR="00D12045">
        <w:rPr>
          <w:szCs w:val="22"/>
          <w:lang w:val="lv-LV"/>
        </w:rPr>
        <w:t xml:space="preserve"> </w:t>
      </w:r>
      <w:r w:rsidRPr="00DA21FF">
        <w:rPr>
          <w:szCs w:val="22"/>
          <w:lang w:val="lv-LV"/>
        </w:rPr>
        <w:t>ºC.</w:t>
      </w:r>
    </w:p>
    <w:p w:rsidR="006B57EA" w:rsidRPr="00DA21FF" w:rsidRDefault="00A75EAE" w:rsidP="00466B5F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Derīguma termiņš pēc pirmās tiešā iepakojuma atvēršanas: 6 mēneši.</w:t>
      </w:r>
    </w:p>
    <w:p w:rsidR="006B57EA" w:rsidRPr="00DA21FF" w:rsidRDefault="00A75EAE" w:rsidP="00466B5F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Nelietot šīs veterinārās zāles, ja beidzies derīguma termiņš, kurš norādīts uz iepakojuma ar EXP.</w:t>
      </w:r>
    </w:p>
    <w:p w:rsidR="006B57EA" w:rsidRPr="00DA21FF" w:rsidRDefault="006B57EA" w:rsidP="00466B5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szCs w:val="22"/>
          <w:lang w:val="lv-LV"/>
        </w:rPr>
      </w:pP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12.</w:t>
      </w:r>
      <w:r w:rsidRPr="00DA21FF">
        <w:rPr>
          <w:b/>
          <w:color w:val="000000"/>
          <w:szCs w:val="22"/>
          <w:lang w:val="lv-LV"/>
        </w:rPr>
        <w:tab/>
        <w:t>ĪPAŠI BRĪDINĀJUMI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</w:p>
    <w:p w:rsidR="00275705" w:rsidRPr="00DA21FF" w:rsidRDefault="00A75EAE" w:rsidP="00466B5F">
      <w:pPr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  <w:r w:rsidRPr="00DA21FF">
        <w:rPr>
          <w:color w:val="000000"/>
          <w:szCs w:val="22"/>
          <w:u w:val="single"/>
          <w:lang w:val="lv-LV"/>
        </w:rPr>
        <w:t>Īpaši piesardzības pasākumi, lietojot dzīvniekiem</w:t>
      </w:r>
    </w:p>
    <w:p w:rsidR="001A18B3" w:rsidRPr="00DA21FF" w:rsidRDefault="00BE2686" w:rsidP="00466B5F">
      <w:pPr>
        <w:spacing w:line="240" w:lineRule="auto"/>
        <w:rPr>
          <w:szCs w:val="22"/>
          <w:lang w:val="lv-LV"/>
        </w:rPr>
      </w:pPr>
      <w:r w:rsidRPr="00BE2686">
        <w:rPr>
          <w:szCs w:val="22"/>
          <w:lang w:val="lv-LV"/>
        </w:rPr>
        <w:t>Pēc ilgstošas vai atkārtotas šo zāļu lietošanas var izveidoties rezistence.</w:t>
      </w:r>
      <w:r w:rsidR="001A18B3" w:rsidRPr="00DA21FF">
        <w:rPr>
          <w:szCs w:val="22"/>
          <w:lang w:val="lv-LV"/>
        </w:rPr>
        <w:t xml:space="preserve"> </w:t>
      </w:r>
    </w:p>
    <w:p w:rsidR="00D636E2" w:rsidRPr="00DA21FF" w:rsidRDefault="00D636E2" w:rsidP="00466B5F">
      <w:pPr>
        <w:spacing w:line="240" w:lineRule="auto"/>
        <w:rPr>
          <w:color w:val="000000"/>
          <w:szCs w:val="22"/>
          <w:lang w:val="lv-LV"/>
        </w:rPr>
      </w:pPr>
    </w:p>
    <w:p w:rsidR="00275705" w:rsidRPr="00DA21FF" w:rsidRDefault="00D12045" w:rsidP="00466B5F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>
        <w:rPr>
          <w:color w:val="000000"/>
          <w:szCs w:val="22"/>
          <w:u w:val="single"/>
          <w:lang w:val="lv-LV"/>
        </w:rPr>
        <w:t>Ī</w:t>
      </w:r>
      <w:r w:rsidR="00D636E2">
        <w:rPr>
          <w:color w:val="000000"/>
          <w:szCs w:val="22"/>
          <w:u w:val="single"/>
          <w:lang w:val="lv-LV"/>
        </w:rPr>
        <w:t>paši</w:t>
      </w:r>
      <w:r>
        <w:rPr>
          <w:color w:val="000000"/>
          <w:szCs w:val="22"/>
          <w:u w:val="single"/>
          <w:lang w:val="lv-LV"/>
        </w:rPr>
        <w:t xml:space="preserve"> </w:t>
      </w:r>
      <w:r w:rsidR="00D636E2">
        <w:rPr>
          <w:color w:val="000000"/>
          <w:szCs w:val="22"/>
          <w:u w:val="single"/>
          <w:lang w:val="lv-LV"/>
        </w:rPr>
        <w:t>pi</w:t>
      </w:r>
      <w:r w:rsidR="00A75EAE" w:rsidRPr="00DA21FF">
        <w:rPr>
          <w:color w:val="000000"/>
          <w:szCs w:val="22"/>
          <w:u w:val="single"/>
          <w:lang w:val="lv-LV"/>
        </w:rPr>
        <w:t xml:space="preserve">esardzības pasākumi, kas jāievēro personai, kura lieto veterinārās zāles dzīvnieku ārstēšanai </w:t>
      </w:r>
    </w:p>
    <w:p w:rsidR="001A18B3" w:rsidRPr="00D12045" w:rsidRDefault="005D0BDE" w:rsidP="00466B5F">
      <w:pPr>
        <w:spacing w:line="240" w:lineRule="auto"/>
        <w:jc w:val="both"/>
        <w:rPr>
          <w:szCs w:val="22"/>
          <w:lang w:val="de-DE" w:eastAsia="de-DE"/>
        </w:rPr>
      </w:pPr>
      <w:r w:rsidRPr="004B0279">
        <w:rPr>
          <w:szCs w:val="22"/>
          <w:lang w:val="lv-LV"/>
        </w:rPr>
        <w:t xml:space="preserve">Pēc rīkošanās ar </w:t>
      </w:r>
      <w:r>
        <w:rPr>
          <w:szCs w:val="22"/>
          <w:lang w:val="lv-LV"/>
        </w:rPr>
        <w:t>zālēm</w:t>
      </w:r>
      <w:r w:rsidRPr="004B0279">
        <w:rPr>
          <w:szCs w:val="22"/>
          <w:lang w:val="lv-LV"/>
        </w:rPr>
        <w:t xml:space="preserve"> rūpīgi nomazgāt rokas.</w:t>
      </w:r>
      <w:r>
        <w:rPr>
          <w:szCs w:val="22"/>
          <w:lang w:val="lv-LV"/>
        </w:rPr>
        <w:t xml:space="preserve"> </w:t>
      </w:r>
      <w:r w:rsidR="00DA21FF" w:rsidRPr="00DA21FF">
        <w:rPr>
          <w:szCs w:val="22"/>
          <w:lang w:val="lv-LV"/>
        </w:rPr>
        <w:t xml:space="preserve">Izvairīties </w:t>
      </w:r>
      <w:r w:rsidRPr="005D0BDE">
        <w:rPr>
          <w:szCs w:val="22"/>
          <w:lang w:val="lv-LV"/>
        </w:rPr>
        <w:t>no zāļu saskares ar ādu, ja ir zināma</w:t>
      </w:r>
      <w:r w:rsidR="00DA21FF">
        <w:rPr>
          <w:szCs w:val="22"/>
          <w:lang w:val="lv-LV"/>
        </w:rPr>
        <w:t xml:space="preserve"> </w:t>
      </w:r>
      <w:r w:rsidRPr="005D0BDE">
        <w:rPr>
          <w:szCs w:val="22"/>
          <w:lang w:val="lv-LV"/>
        </w:rPr>
        <w:t xml:space="preserve">pastiprināta jutība pret aktīvajām vielām.  Ja notikusi nejauša norīšana, nekavējoties meklēt medicīnisko </w:t>
      </w:r>
      <w:r w:rsidRPr="005D0BDE">
        <w:rPr>
          <w:szCs w:val="22"/>
          <w:lang w:val="lv-LV"/>
        </w:rPr>
        <w:lastRenderedPageBreak/>
        <w:t>palīdzību un uzrādīt lietošanas instrukciju vai iepakojuma marķējumu ārstam.</w:t>
      </w:r>
      <w:r>
        <w:rPr>
          <w:szCs w:val="22"/>
          <w:lang w:val="lv-LV"/>
        </w:rPr>
        <w:t xml:space="preserve"> </w:t>
      </w:r>
      <w:r w:rsidR="00636349" w:rsidRPr="00D12045">
        <w:rPr>
          <w:szCs w:val="22"/>
          <w:lang w:val="de-DE" w:eastAsia="de-DE"/>
        </w:rPr>
        <w:t xml:space="preserve">Likvidēt </w:t>
      </w:r>
      <w:r w:rsidRPr="005D0BDE">
        <w:rPr>
          <w:szCs w:val="22"/>
          <w:lang w:val="de-DE" w:eastAsia="de-DE"/>
        </w:rPr>
        <w:t xml:space="preserve">kontaminētās fekālijas. </w:t>
      </w:r>
      <w:r w:rsidR="006B16E7" w:rsidRPr="00D12045">
        <w:rPr>
          <w:szCs w:val="22"/>
          <w:lang w:val="de-DE" w:eastAsia="de-DE"/>
        </w:rPr>
        <w:t>Nelaist bērnus pie ārstētajiem dzīvniekiem.</w:t>
      </w:r>
      <w:r w:rsidR="001A18B3" w:rsidRPr="00D12045">
        <w:rPr>
          <w:szCs w:val="22"/>
          <w:lang w:val="de-DE" w:eastAsia="de-DE"/>
        </w:rPr>
        <w:t xml:space="preserve"> </w:t>
      </w:r>
    </w:p>
    <w:p w:rsidR="00D636E2" w:rsidRPr="00DA21FF" w:rsidRDefault="00D636E2" w:rsidP="00466B5F">
      <w:pPr>
        <w:pStyle w:val="HTMLPreformatted"/>
        <w:shd w:val="clear" w:color="auto" w:fill="FFFFFF"/>
        <w:rPr>
          <w:rFonts w:ascii="Times New Roman" w:hAnsi="Times New Roman" w:cs="Times New Roman"/>
          <w:color w:val="212121"/>
          <w:sz w:val="22"/>
          <w:szCs w:val="22"/>
        </w:rPr>
      </w:pPr>
    </w:p>
    <w:p w:rsidR="00275705" w:rsidRPr="00DA21FF" w:rsidRDefault="00A75EAE" w:rsidP="00466B5F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  <w:r w:rsidRPr="00DA21FF">
        <w:rPr>
          <w:color w:val="000000"/>
          <w:szCs w:val="22"/>
          <w:u w:val="single"/>
          <w:lang w:val="lv-LV"/>
        </w:rPr>
        <w:t>Lietošana grūsnības un laktācijas</w:t>
      </w:r>
      <w:r w:rsidR="00EE60D2" w:rsidRPr="00DA21FF">
        <w:rPr>
          <w:color w:val="000000"/>
          <w:szCs w:val="22"/>
          <w:u w:val="single"/>
          <w:lang w:val="lv-LV"/>
        </w:rPr>
        <w:t xml:space="preserve"> </w:t>
      </w:r>
      <w:r w:rsidR="00B53C15" w:rsidRPr="00DA21FF">
        <w:rPr>
          <w:color w:val="000000"/>
          <w:szCs w:val="22"/>
          <w:u w:val="single"/>
          <w:lang w:val="lv-LV"/>
        </w:rPr>
        <w:t>laikā</w:t>
      </w:r>
    </w:p>
    <w:p w:rsidR="005D0BDE" w:rsidRDefault="00FF7539" w:rsidP="00466B5F">
      <w:pPr>
        <w:spacing w:line="240" w:lineRule="auto"/>
        <w:jc w:val="both"/>
        <w:rPr>
          <w:szCs w:val="22"/>
          <w:lang w:val="lv-LV"/>
        </w:rPr>
      </w:pPr>
      <w:bookmarkStart w:id="1" w:name="_Hlk503964815"/>
      <w:r w:rsidRPr="00FF7539">
        <w:rPr>
          <w:szCs w:val="22"/>
          <w:lang w:val="lv-LV"/>
        </w:rPr>
        <w:t>Nav pierādīts šo veterināro zāļu nekaitīgums grūsnības</w:t>
      </w:r>
      <w:r>
        <w:rPr>
          <w:szCs w:val="22"/>
          <w:lang w:val="lv-LV"/>
        </w:rPr>
        <w:t xml:space="preserve"> un </w:t>
      </w:r>
      <w:r w:rsidRPr="00FF7539">
        <w:rPr>
          <w:szCs w:val="22"/>
          <w:lang w:val="lv-LV"/>
        </w:rPr>
        <w:t>laktācijas</w:t>
      </w:r>
      <w:r>
        <w:rPr>
          <w:szCs w:val="22"/>
          <w:lang w:val="lv-LV"/>
        </w:rPr>
        <w:t xml:space="preserve"> </w:t>
      </w:r>
      <w:r w:rsidRPr="00FF7539">
        <w:rPr>
          <w:szCs w:val="22"/>
          <w:lang w:val="lv-LV"/>
        </w:rPr>
        <w:t>laikā.</w:t>
      </w:r>
      <w:r>
        <w:rPr>
          <w:szCs w:val="22"/>
          <w:lang w:val="lv-LV"/>
        </w:rPr>
        <w:t xml:space="preserve"> </w:t>
      </w:r>
      <w:r w:rsidR="001515AA" w:rsidRPr="001515AA">
        <w:rPr>
          <w:szCs w:val="22"/>
          <w:lang w:val="lv-LV"/>
        </w:rPr>
        <w:t>Lietot tikai pēc ārstējošā veterinārārsta ieguvuma un riska attiecības izvērtēšanas.</w:t>
      </w:r>
    </w:p>
    <w:bookmarkEnd w:id="1"/>
    <w:p w:rsidR="001A18B3" w:rsidRPr="00DA21FF" w:rsidRDefault="001A18B3" w:rsidP="00466B5F">
      <w:pPr>
        <w:spacing w:line="240" w:lineRule="auto"/>
        <w:rPr>
          <w:szCs w:val="22"/>
          <w:lang w:val="lv-LV"/>
        </w:rPr>
      </w:pPr>
    </w:p>
    <w:p w:rsidR="00275705" w:rsidRPr="00DA21FF" w:rsidRDefault="00A75EAE" w:rsidP="00466B5F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  <w:r w:rsidRPr="00DA21FF">
        <w:rPr>
          <w:color w:val="000000"/>
          <w:szCs w:val="22"/>
          <w:u w:val="single"/>
          <w:lang w:val="lv-LV"/>
        </w:rPr>
        <w:t xml:space="preserve">Pārdozēšana </w:t>
      </w:r>
    </w:p>
    <w:p w:rsidR="00EB7865" w:rsidRDefault="00EB7865" w:rsidP="00EB7865">
      <w:pPr>
        <w:spacing w:line="240" w:lineRule="auto"/>
        <w:jc w:val="both"/>
        <w:rPr>
          <w:szCs w:val="22"/>
          <w:lang w:val="lv-LV"/>
        </w:rPr>
      </w:pPr>
      <w:r w:rsidRPr="00CF689A">
        <w:rPr>
          <w:szCs w:val="22"/>
          <w:lang w:val="lv-LV"/>
        </w:rPr>
        <w:t xml:space="preserve">Pārdozēšanas gadījumā var novērot neiroloģiskas pazīmes, piemēram, trīci, ataksiju un </w:t>
      </w:r>
      <w:r>
        <w:rPr>
          <w:szCs w:val="22"/>
          <w:lang w:val="lv-LV"/>
        </w:rPr>
        <w:t>grīļošanos</w:t>
      </w:r>
      <w:r w:rsidRPr="00CF689A">
        <w:rPr>
          <w:szCs w:val="22"/>
          <w:lang w:val="lv-LV"/>
        </w:rPr>
        <w:t>.</w:t>
      </w:r>
    </w:p>
    <w:p w:rsidR="00EB7865" w:rsidRDefault="00EB7865" w:rsidP="00466B5F">
      <w:pPr>
        <w:spacing w:line="240" w:lineRule="auto"/>
        <w:jc w:val="both"/>
        <w:rPr>
          <w:szCs w:val="22"/>
          <w:lang w:val="lv-LV"/>
        </w:rPr>
      </w:pPr>
    </w:p>
    <w:p w:rsidR="00EB7865" w:rsidRPr="00DA21FF" w:rsidRDefault="00EB7865" w:rsidP="00466B5F">
      <w:pPr>
        <w:spacing w:line="240" w:lineRule="auto"/>
        <w:jc w:val="both"/>
        <w:rPr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rPr>
          <w:b/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13.</w:t>
      </w:r>
      <w:r w:rsidRPr="00DA21FF">
        <w:rPr>
          <w:b/>
          <w:color w:val="000000"/>
          <w:szCs w:val="22"/>
          <w:lang w:val="lv-LV"/>
        </w:rPr>
        <w:tab/>
      </w:r>
      <w:r w:rsidR="0057779C" w:rsidRPr="0057779C">
        <w:rPr>
          <w:b/>
          <w:caps/>
          <w:color w:val="000000"/>
          <w:szCs w:val="22"/>
          <w:lang w:val="lv-LV"/>
        </w:rPr>
        <w:t>ĪPAŠI NORĀDĪJUMI NEIZLIETOTU VETERINĀRO ZĀĻU VAI TO ATKRITUMU IZNĪCINĀŠANAI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:rsidR="00275705" w:rsidRPr="00DA21FF" w:rsidRDefault="00A75EAE" w:rsidP="00466B5F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Jebkuras neizlietot</w:t>
      </w:r>
      <w:r w:rsidR="0057779C">
        <w:rPr>
          <w:color w:val="000000"/>
          <w:szCs w:val="22"/>
          <w:lang w:val="lv-LV"/>
        </w:rPr>
        <w:t>a</w:t>
      </w:r>
      <w:r w:rsidRPr="00DA21FF">
        <w:rPr>
          <w:color w:val="000000"/>
          <w:szCs w:val="22"/>
          <w:lang w:val="lv-LV"/>
        </w:rPr>
        <w:t>s veterinārās zāles vai to atkritumi jāiznīcina saskaņā ar nacionālajiem tiesību aktiem.</w:t>
      </w:r>
    </w:p>
    <w:p w:rsidR="00275705" w:rsidRPr="00DA21FF" w:rsidRDefault="0057779C" w:rsidP="00466B5F">
      <w:pPr>
        <w:numPr>
          <w:ilvl w:val="12"/>
          <w:numId w:val="0"/>
        </w:numPr>
        <w:spacing w:line="240" w:lineRule="auto"/>
        <w:jc w:val="both"/>
        <w:rPr>
          <w:color w:val="000000"/>
          <w:szCs w:val="22"/>
          <w:lang w:val="lv-LV"/>
        </w:rPr>
      </w:pPr>
      <w:r>
        <w:rPr>
          <w:szCs w:val="22"/>
          <w:lang w:val="lv-LV"/>
        </w:rPr>
        <w:t>Jebkuras n</w:t>
      </w:r>
      <w:r w:rsidR="00275705" w:rsidRPr="00DA21FF">
        <w:rPr>
          <w:szCs w:val="22"/>
          <w:lang w:val="lv-LV"/>
        </w:rPr>
        <w:t>eizlietot</w:t>
      </w:r>
      <w:r>
        <w:rPr>
          <w:szCs w:val="22"/>
          <w:lang w:val="lv-LV"/>
        </w:rPr>
        <w:t>a</w:t>
      </w:r>
      <w:r w:rsidR="00275705" w:rsidRPr="00DA21FF">
        <w:rPr>
          <w:szCs w:val="22"/>
          <w:lang w:val="lv-LV"/>
        </w:rPr>
        <w:t>s veterinārās zāles vai to atkritumus nedrīkst iznīcināt</w:t>
      </w:r>
      <w:r w:rsidR="00466B5F">
        <w:rPr>
          <w:szCs w:val="22"/>
          <w:lang w:val="lv-LV"/>
        </w:rPr>
        <w:t>,</w:t>
      </w:r>
      <w:r w:rsidR="00275705" w:rsidRPr="00DA21FF">
        <w:rPr>
          <w:szCs w:val="22"/>
          <w:lang w:val="lv-LV"/>
        </w:rPr>
        <w:t xml:space="preserve"> izmantojot kanalizāciju vai kopā ar sadzīves atk</w:t>
      </w:r>
      <w:r w:rsidR="00A75EAE" w:rsidRPr="00DA21FF">
        <w:rPr>
          <w:szCs w:val="22"/>
          <w:lang w:val="lv-LV"/>
        </w:rPr>
        <w:t>ritumiem.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:rsidR="006B57EA" w:rsidRPr="00DA21FF" w:rsidRDefault="006B57EA" w:rsidP="00466B5F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14.</w:t>
      </w:r>
      <w:r w:rsidRPr="00DA21FF">
        <w:rPr>
          <w:b/>
          <w:color w:val="000000"/>
          <w:szCs w:val="22"/>
          <w:lang w:val="lv-LV"/>
        </w:rPr>
        <w:tab/>
        <w:t>DATUMS, KAD LIETOŠANAS  INSTRUKCIJA PĒDĒJO REIZI TIKA APSTIPRINĀTA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:rsidR="006B57EA" w:rsidRPr="00DA21FF" w:rsidRDefault="00D636E2" w:rsidP="00466B5F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0</w:t>
      </w:r>
      <w:r w:rsidR="00EB7865">
        <w:rPr>
          <w:color w:val="000000"/>
          <w:szCs w:val="22"/>
          <w:lang w:val="lv-LV"/>
        </w:rPr>
        <w:t>2</w:t>
      </w:r>
      <w:r>
        <w:rPr>
          <w:color w:val="000000"/>
          <w:szCs w:val="22"/>
          <w:lang w:val="lv-LV"/>
        </w:rPr>
        <w:t>/20</w:t>
      </w:r>
      <w:r w:rsidR="00EB7865">
        <w:rPr>
          <w:color w:val="000000"/>
          <w:szCs w:val="22"/>
          <w:lang w:val="lv-LV"/>
        </w:rPr>
        <w:t>23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:rsidR="006B57EA" w:rsidRPr="00DA21FF" w:rsidRDefault="006B57EA" w:rsidP="00466B5F">
      <w:pPr>
        <w:spacing w:line="240" w:lineRule="auto"/>
        <w:rPr>
          <w:b/>
          <w:color w:val="000000"/>
          <w:szCs w:val="22"/>
          <w:lang w:val="lv-LV"/>
        </w:rPr>
      </w:pPr>
    </w:p>
    <w:p w:rsidR="006B57EA" w:rsidRPr="00DA21FF" w:rsidRDefault="00A75EAE" w:rsidP="00466B5F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DA21FF">
        <w:rPr>
          <w:b/>
          <w:color w:val="000000"/>
          <w:szCs w:val="22"/>
          <w:lang w:val="lv-LV"/>
        </w:rPr>
        <w:t>15.</w:t>
      </w:r>
      <w:r w:rsidRPr="00DA21FF">
        <w:rPr>
          <w:b/>
          <w:color w:val="000000"/>
          <w:szCs w:val="22"/>
          <w:lang w:val="lv-LV"/>
        </w:rPr>
        <w:tab/>
        <w:t>CITA INFORMĀCIJA</w:t>
      </w:r>
    </w:p>
    <w:p w:rsidR="006B57EA" w:rsidRPr="00DA21FF" w:rsidRDefault="006B57EA" w:rsidP="00466B5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:rsidR="006B57EA" w:rsidRPr="00DA21FF" w:rsidRDefault="00A75EAE" w:rsidP="00466B5F">
      <w:pPr>
        <w:numPr>
          <w:ilvl w:val="12"/>
          <w:numId w:val="0"/>
        </w:numPr>
        <w:spacing w:line="240" w:lineRule="auto"/>
        <w:ind w:right="-2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Bezrecepšu veterinārās zāles.</w:t>
      </w:r>
    </w:p>
    <w:p w:rsidR="006B57EA" w:rsidRPr="00DA21FF" w:rsidRDefault="00A75EAE" w:rsidP="00466B5F">
      <w:pPr>
        <w:numPr>
          <w:ilvl w:val="12"/>
          <w:numId w:val="0"/>
        </w:numPr>
        <w:spacing w:line="240" w:lineRule="auto"/>
        <w:ind w:right="-2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Lai iegūtu papildu informāciju par šīm veterinārajām zālēm, lūdzam sazināties ar reģistrācijas apliecības īpašnieka vietējo pārstāvi</w:t>
      </w:r>
      <w:r w:rsidR="00D636E2">
        <w:rPr>
          <w:color w:val="000000"/>
          <w:szCs w:val="22"/>
          <w:lang w:val="lv-LV"/>
        </w:rPr>
        <w:t>:</w:t>
      </w:r>
    </w:p>
    <w:p w:rsidR="006B57EA" w:rsidRPr="00DA21FF" w:rsidRDefault="00A75EAE" w:rsidP="00466B5F">
      <w:pPr>
        <w:numPr>
          <w:ilvl w:val="12"/>
          <w:numId w:val="0"/>
        </w:numPr>
        <w:spacing w:line="240" w:lineRule="auto"/>
        <w:ind w:right="-2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OÜ Zoovetvaru</w:t>
      </w:r>
    </w:p>
    <w:p w:rsidR="006B57EA" w:rsidRPr="00DA21FF" w:rsidRDefault="00A75EAE" w:rsidP="00466B5F">
      <w:pPr>
        <w:numPr>
          <w:ilvl w:val="12"/>
          <w:numId w:val="0"/>
        </w:numPr>
        <w:spacing w:line="240" w:lineRule="auto"/>
        <w:ind w:right="-2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Uusaru 5</w:t>
      </w:r>
    </w:p>
    <w:p w:rsidR="006B57EA" w:rsidRPr="00DA21FF" w:rsidRDefault="00A75EAE" w:rsidP="00466B5F">
      <w:pPr>
        <w:numPr>
          <w:ilvl w:val="12"/>
          <w:numId w:val="0"/>
        </w:numPr>
        <w:spacing w:line="240" w:lineRule="auto"/>
        <w:ind w:right="-2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Saue 76505</w:t>
      </w:r>
    </w:p>
    <w:p w:rsidR="006B57EA" w:rsidRPr="00DA21FF" w:rsidRDefault="00A75EAE" w:rsidP="00466B5F">
      <w:pPr>
        <w:numPr>
          <w:ilvl w:val="12"/>
          <w:numId w:val="0"/>
        </w:numPr>
        <w:spacing w:line="240" w:lineRule="auto"/>
        <w:ind w:right="-2"/>
        <w:rPr>
          <w:color w:val="000000"/>
          <w:szCs w:val="22"/>
          <w:lang w:val="lv-LV"/>
        </w:rPr>
      </w:pPr>
      <w:r w:rsidRPr="00DA21FF">
        <w:rPr>
          <w:color w:val="000000"/>
          <w:szCs w:val="22"/>
          <w:lang w:val="lv-LV"/>
        </w:rPr>
        <w:t>Igaunija</w:t>
      </w:r>
    </w:p>
    <w:p w:rsidR="006B57EA" w:rsidRPr="00DA21FF" w:rsidRDefault="00A75EAE" w:rsidP="00466B5F">
      <w:pPr>
        <w:numPr>
          <w:ilvl w:val="12"/>
          <w:numId w:val="0"/>
        </w:numPr>
        <w:spacing w:line="240" w:lineRule="auto"/>
        <w:ind w:right="-2"/>
        <w:rPr>
          <w:szCs w:val="22"/>
          <w:lang w:val="lv-LV"/>
        </w:rPr>
      </w:pPr>
      <w:r w:rsidRPr="00DA21FF">
        <w:rPr>
          <w:color w:val="000000"/>
          <w:szCs w:val="22"/>
          <w:lang w:val="lv-LV"/>
        </w:rPr>
        <w:t>Tālr.: +3726709001</w:t>
      </w:r>
    </w:p>
    <w:p w:rsidR="006B57EA" w:rsidRPr="00DA21FF" w:rsidRDefault="006B57EA">
      <w:pPr>
        <w:rPr>
          <w:szCs w:val="22"/>
          <w:lang w:val="lv-LV"/>
        </w:rPr>
      </w:pPr>
    </w:p>
    <w:sectPr w:rsidR="006B57EA" w:rsidRPr="00DA21FF" w:rsidSect="00BA2D2D">
      <w:footerReference w:type="default" r:id="rId6"/>
      <w:footerReference w:type="first" r:id="rId7"/>
      <w:endnotePr>
        <w:numFmt w:val="decimal"/>
      </w:endnotePr>
      <w:pgSz w:w="11918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057E" w:rsidRDefault="0035057E" w:rsidP="00BA2D2D">
      <w:pPr>
        <w:spacing w:line="240" w:lineRule="auto"/>
      </w:pPr>
      <w:r>
        <w:separator/>
      </w:r>
    </w:p>
  </w:endnote>
  <w:endnote w:type="continuationSeparator" w:id="0">
    <w:p w:rsidR="0035057E" w:rsidRDefault="0035057E" w:rsidP="00BA2D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7005602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:rsidR="00466B5F" w:rsidRPr="00466B5F" w:rsidRDefault="00466B5F">
        <w:pPr>
          <w:pStyle w:val="Footer"/>
          <w:jc w:val="center"/>
          <w:rPr>
            <w:sz w:val="16"/>
            <w:szCs w:val="16"/>
          </w:rPr>
        </w:pPr>
        <w:r w:rsidRPr="00466B5F">
          <w:rPr>
            <w:sz w:val="16"/>
            <w:szCs w:val="16"/>
          </w:rPr>
          <w:fldChar w:fldCharType="begin"/>
        </w:r>
        <w:r w:rsidRPr="00466B5F">
          <w:rPr>
            <w:sz w:val="16"/>
            <w:szCs w:val="16"/>
          </w:rPr>
          <w:instrText xml:space="preserve"> PAGE   \* MERGEFORMAT </w:instrText>
        </w:r>
        <w:r w:rsidRPr="00466B5F">
          <w:rPr>
            <w:sz w:val="16"/>
            <w:szCs w:val="16"/>
          </w:rPr>
          <w:fldChar w:fldCharType="separate"/>
        </w:r>
        <w:r w:rsidR="00EB7865">
          <w:rPr>
            <w:noProof/>
            <w:sz w:val="16"/>
            <w:szCs w:val="16"/>
          </w:rPr>
          <w:t>3</w:t>
        </w:r>
        <w:r w:rsidRPr="00466B5F">
          <w:rPr>
            <w:noProof/>
            <w:sz w:val="16"/>
            <w:szCs w:val="16"/>
          </w:rPr>
          <w:fldChar w:fldCharType="end"/>
        </w:r>
      </w:p>
    </w:sdtContent>
  </w:sdt>
  <w:p w:rsidR="000A57D2" w:rsidRDefault="000A57D2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57D2" w:rsidRDefault="000A57D2">
    <w:pPr>
      <w:pStyle w:val="Footer"/>
      <w:tabs>
        <w:tab w:val="clear" w:pos="8930"/>
        <w:tab w:val="right" w:pos="8931"/>
      </w:tabs>
    </w:pPr>
  </w:p>
  <w:p w:rsidR="000A57D2" w:rsidRDefault="00B53C1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 w:rsidR="00A8222A">
      <w:instrText xml:space="preserve"> PAGE  \* MERGEFORMAT </w:instrText>
    </w:r>
    <w:r>
      <w:fldChar w:fldCharType="separate"/>
    </w:r>
    <w:r w:rsidR="00EB786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057E" w:rsidRDefault="0035057E" w:rsidP="00BA2D2D">
      <w:pPr>
        <w:spacing w:line="240" w:lineRule="auto"/>
      </w:pPr>
      <w:r>
        <w:separator/>
      </w:r>
    </w:p>
  </w:footnote>
  <w:footnote w:type="continuationSeparator" w:id="0">
    <w:p w:rsidR="0035057E" w:rsidRDefault="0035057E" w:rsidP="00BA2D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ED5"/>
    <w:rsid w:val="00032A53"/>
    <w:rsid w:val="000770B2"/>
    <w:rsid w:val="00093FD3"/>
    <w:rsid w:val="000A014B"/>
    <w:rsid w:val="000A57D2"/>
    <w:rsid w:val="000C0A1C"/>
    <w:rsid w:val="001515AA"/>
    <w:rsid w:val="0015664E"/>
    <w:rsid w:val="00167A24"/>
    <w:rsid w:val="001A0105"/>
    <w:rsid w:val="001A18B3"/>
    <w:rsid w:val="001C34AE"/>
    <w:rsid w:val="001E0C7B"/>
    <w:rsid w:val="002365BA"/>
    <w:rsid w:val="00255ED5"/>
    <w:rsid w:val="00275705"/>
    <w:rsid w:val="00294007"/>
    <w:rsid w:val="0031323B"/>
    <w:rsid w:val="00315437"/>
    <w:rsid w:val="0035057E"/>
    <w:rsid w:val="00394755"/>
    <w:rsid w:val="003A545B"/>
    <w:rsid w:val="003E17CC"/>
    <w:rsid w:val="003E4DD7"/>
    <w:rsid w:val="00426000"/>
    <w:rsid w:val="00426BD2"/>
    <w:rsid w:val="00466B5F"/>
    <w:rsid w:val="00467F08"/>
    <w:rsid w:val="00482880"/>
    <w:rsid w:val="004848A7"/>
    <w:rsid w:val="004B13C2"/>
    <w:rsid w:val="004D45E4"/>
    <w:rsid w:val="004F1CB1"/>
    <w:rsid w:val="0057779C"/>
    <w:rsid w:val="005D0BDE"/>
    <w:rsid w:val="00622FF0"/>
    <w:rsid w:val="00636349"/>
    <w:rsid w:val="0064031E"/>
    <w:rsid w:val="006B063A"/>
    <w:rsid w:val="006B16E7"/>
    <w:rsid w:val="006B57EA"/>
    <w:rsid w:val="006C6BAF"/>
    <w:rsid w:val="006E5FEB"/>
    <w:rsid w:val="00776280"/>
    <w:rsid w:val="007A1422"/>
    <w:rsid w:val="007E48AE"/>
    <w:rsid w:val="007F2964"/>
    <w:rsid w:val="008277E8"/>
    <w:rsid w:val="00857679"/>
    <w:rsid w:val="008A5A2D"/>
    <w:rsid w:val="008B03B4"/>
    <w:rsid w:val="008D3EFC"/>
    <w:rsid w:val="008F1548"/>
    <w:rsid w:val="00912CAE"/>
    <w:rsid w:val="00955059"/>
    <w:rsid w:val="009D4A33"/>
    <w:rsid w:val="009E3A21"/>
    <w:rsid w:val="00A012B6"/>
    <w:rsid w:val="00A0541F"/>
    <w:rsid w:val="00A3400C"/>
    <w:rsid w:val="00A75EAE"/>
    <w:rsid w:val="00A8222A"/>
    <w:rsid w:val="00AA4F57"/>
    <w:rsid w:val="00B53C15"/>
    <w:rsid w:val="00BA2D2D"/>
    <w:rsid w:val="00BD1CE5"/>
    <w:rsid w:val="00BE2686"/>
    <w:rsid w:val="00C33758"/>
    <w:rsid w:val="00C36520"/>
    <w:rsid w:val="00C65E61"/>
    <w:rsid w:val="00C70100"/>
    <w:rsid w:val="00C80D34"/>
    <w:rsid w:val="00CA179B"/>
    <w:rsid w:val="00CB158C"/>
    <w:rsid w:val="00CF368F"/>
    <w:rsid w:val="00D06A82"/>
    <w:rsid w:val="00D12045"/>
    <w:rsid w:val="00D201E8"/>
    <w:rsid w:val="00D35DEE"/>
    <w:rsid w:val="00D636E2"/>
    <w:rsid w:val="00DA21FF"/>
    <w:rsid w:val="00E0540C"/>
    <w:rsid w:val="00E65740"/>
    <w:rsid w:val="00E85C11"/>
    <w:rsid w:val="00EB7865"/>
    <w:rsid w:val="00EE60D2"/>
    <w:rsid w:val="00EF0E86"/>
    <w:rsid w:val="00F132FC"/>
    <w:rsid w:val="00F43901"/>
    <w:rsid w:val="00F51278"/>
    <w:rsid w:val="00FC71A3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8ECDE1F-CBF6-4E97-B5AE-9BD6EC8BD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5ED5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55ED5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eastAsia="Calibri" w:hAnsi="Helvetica"/>
      <w:sz w:val="20"/>
    </w:rPr>
  </w:style>
  <w:style w:type="character" w:customStyle="1" w:styleId="FooterChar">
    <w:name w:val="Footer Char"/>
    <w:link w:val="Footer"/>
    <w:uiPriority w:val="99"/>
    <w:locked/>
    <w:rsid w:val="00255ED5"/>
    <w:rPr>
      <w:rFonts w:ascii="Helvetica" w:hAnsi="Helvetica" w:cs="Times New Roman"/>
      <w:sz w:val="20"/>
      <w:lang w:val="en-GB"/>
    </w:rPr>
  </w:style>
  <w:style w:type="paragraph" w:styleId="BodyText">
    <w:name w:val="Body Text"/>
    <w:basedOn w:val="Normal"/>
    <w:link w:val="BodyTextChar"/>
    <w:uiPriority w:val="99"/>
    <w:rsid w:val="00255ED5"/>
    <w:pPr>
      <w:tabs>
        <w:tab w:val="clear" w:pos="567"/>
      </w:tabs>
      <w:spacing w:line="240" w:lineRule="auto"/>
      <w:jc w:val="both"/>
    </w:pPr>
    <w:rPr>
      <w:rFonts w:eastAsia="Calibri"/>
      <w:sz w:val="20"/>
    </w:rPr>
  </w:style>
  <w:style w:type="character" w:customStyle="1" w:styleId="BodyTextChar">
    <w:name w:val="Body Text Char"/>
    <w:link w:val="BodyText"/>
    <w:uiPriority w:val="99"/>
    <w:locked/>
    <w:rsid w:val="00255ED5"/>
    <w:rPr>
      <w:rFonts w:ascii="Times New Roman" w:hAnsi="Times New Roman" w:cs="Times New Roman"/>
      <w:sz w:val="20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255ED5"/>
    <w:pPr>
      <w:spacing w:line="240" w:lineRule="auto"/>
    </w:pPr>
    <w:rPr>
      <w:rFonts w:eastAsia="Calibri"/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255ED5"/>
    <w:rPr>
      <w:rFonts w:ascii="Times New Roman" w:hAnsi="Times New Roman" w:cs="Times New Roman"/>
      <w:sz w:val="20"/>
      <w:lang w:val="en-GB"/>
    </w:rPr>
  </w:style>
  <w:style w:type="paragraph" w:styleId="NormalWeb">
    <w:name w:val="Normal (Web)"/>
    <w:basedOn w:val="Normal"/>
    <w:uiPriority w:val="99"/>
    <w:rsid w:val="00255ED5"/>
    <w:pPr>
      <w:tabs>
        <w:tab w:val="clear" w:pos="567"/>
      </w:tabs>
      <w:spacing w:before="100" w:beforeAutospacing="1" w:after="100" w:afterAutospacing="1" w:line="240" w:lineRule="auto"/>
    </w:pPr>
    <w:rPr>
      <w:color w:val="000000"/>
      <w:sz w:val="24"/>
      <w:szCs w:val="24"/>
      <w:lang w:val="et-EE" w:eastAsia="lv-LV"/>
    </w:rPr>
  </w:style>
  <w:style w:type="paragraph" w:styleId="BalloonText">
    <w:name w:val="Balloon Text"/>
    <w:basedOn w:val="Normal"/>
    <w:link w:val="BalloonTextChar"/>
    <w:uiPriority w:val="99"/>
    <w:semiHidden/>
    <w:rsid w:val="00776280"/>
    <w:rPr>
      <w:rFonts w:eastAsia="Calibri"/>
      <w:sz w:val="2"/>
    </w:rPr>
  </w:style>
  <w:style w:type="character" w:customStyle="1" w:styleId="BalloonTextChar">
    <w:name w:val="Balloon Text Char"/>
    <w:link w:val="BalloonText"/>
    <w:uiPriority w:val="99"/>
    <w:semiHidden/>
    <w:locked/>
    <w:rsid w:val="006B063A"/>
    <w:rPr>
      <w:rFonts w:ascii="Times New Roman" w:hAnsi="Times New Roman" w:cs="Times New Roman"/>
      <w:sz w:val="2"/>
      <w:lang w:val="en-GB"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75705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val="lv-LV"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75705"/>
    <w:rPr>
      <w:rFonts w:ascii="Courier New" w:eastAsia="Times New Roman" w:hAnsi="Courier New" w:cs="Courier New"/>
      <w:lang w:val="lv-LV" w:eastAsia="lv-LV"/>
    </w:rPr>
  </w:style>
  <w:style w:type="paragraph" w:customStyle="1" w:styleId="Text">
    <w:name w:val="Text"/>
    <w:rsid w:val="001A18B3"/>
    <w:rPr>
      <w:rFonts w:ascii="Times New Roman" w:eastAsia="Times New Roman" w:hAnsi="Times New Roman"/>
      <w:snapToGrid w:val="0"/>
      <w:color w:val="000000"/>
      <w:sz w:val="24"/>
      <w:lang w:val="en-GB"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6363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B16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16E7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16E7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16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16E7"/>
    <w:rPr>
      <w:rFonts w:ascii="Times New Roman" w:eastAsia="Times New Roman" w:hAnsi="Times New Roman"/>
      <w:b/>
      <w:bCs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466B5F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B5F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666</Words>
  <Characters>4439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>LIETOŠANAS INSTRUKCIJA</vt:lpstr>
      <vt:lpstr>LIETOŠANAS INSTRUKCIJA</vt:lpstr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