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EDABB" w14:textId="4A508286" w:rsidR="00BA1E9C" w:rsidRDefault="00B00BA9" w:rsidP="000426C8">
      <w:pPr>
        <w:tabs>
          <w:tab w:val="clear" w:pos="567"/>
        </w:tabs>
        <w:spacing w:line="240" w:lineRule="auto"/>
        <w:jc w:val="center"/>
        <w:rPr>
          <w:b/>
          <w:szCs w:val="22"/>
        </w:rPr>
      </w:pPr>
      <w:r>
        <w:rPr>
          <w:b/>
          <w:szCs w:val="22"/>
        </w:rPr>
        <w:t>LIETOŠANAS INSTRUKCIJA</w:t>
      </w:r>
      <w:r w:rsidR="00C63709">
        <w:rPr>
          <w:b/>
          <w:szCs w:val="22"/>
        </w:rPr>
        <w:t xml:space="preserve"> </w:t>
      </w:r>
    </w:p>
    <w:p w14:paraId="7C09E14A" w14:textId="77777777" w:rsidR="00BA1E9C" w:rsidRDefault="00BA1E9C">
      <w:pPr>
        <w:tabs>
          <w:tab w:val="clear" w:pos="567"/>
        </w:tabs>
        <w:spacing w:line="240" w:lineRule="auto"/>
        <w:rPr>
          <w:szCs w:val="22"/>
        </w:rPr>
      </w:pPr>
    </w:p>
    <w:p w14:paraId="2214DE47" w14:textId="77777777" w:rsidR="00BA1E9C" w:rsidRDefault="00B00BA9">
      <w:pPr>
        <w:pStyle w:val="Style1"/>
      </w:pPr>
      <w:r>
        <w:rPr>
          <w:shd w:val="clear" w:color="auto" w:fill="D3D3D3"/>
        </w:rPr>
        <w:t>1.</w:t>
      </w:r>
      <w:r>
        <w:tab/>
        <w:t>Veterināro zāļu nosaukums</w:t>
      </w:r>
    </w:p>
    <w:p w14:paraId="15A01027" w14:textId="77777777" w:rsidR="00BA1E9C" w:rsidRDefault="00BA1E9C">
      <w:pPr>
        <w:tabs>
          <w:tab w:val="clear" w:pos="567"/>
        </w:tabs>
        <w:spacing w:line="240" w:lineRule="auto"/>
        <w:rPr>
          <w:szCs w:val="22"/>
        </w:rPr>
      </w:pPr>
    </w:p>
    <w:p w14:paraId="38987126" w14:textId="77777777" w:rsidR="00BA1E9C" w:rsidRDefault="00B00BA9">
      <w:pPr>
        <w:tabs>
          <w:tab w:val="clear" w:pos="567"/>
        </w:tabs>
        <w:autoSpaceDE w:val="0"/>
        <w:spacing w:line="240" w:lineRule="auto"/>
      </w:pPr>
      <w:r>
        <w:rPr>
          <w:b/>
          <w:bCs/>
          <w:color w:val="000000"/>
          <w:szCs w:val="22"/>
          <w:lang w:eastAsia="en-GB"/>
        </w:rPr>
        <w:t xml:space="preserve">TETRAVET LA </w:t>
      </w:r>
      <w:r>
        <w:rPr>
          <w:color w:val="000000"/>
          <w:szCs w:val="22"/>
          <w:lang w:eastAsia="en-GB"/>
        </w:rPr>
        <w:t>200 mg/ml šķīdums injekcijām liellopiem, aitām, kazām, cūkām</w:t>
      </w:r>
    </w:p>
    <w:p w14:paraId="4B39957F" w14:textId="77777777" w:rsidR="00BA1E9C" w:rsidRDefault="00BA1E9C">
      <w:pPr>
        <w:tabs>
          <w:tab w:val="clear" w:pos="567"/>
        </w:tabs>
        <w:spacing w:line="240" w:lineRule="auto"/>
        <w:rPr>
          <w:szCs w:val="22"/>
        </w:rPr>
      </w:pPr>
    </w:p>
    <w:p w14:paraId="7B29090B" w14:textId="77777777" w:rsidR="00BA1E9C" w:rsidRDefault="00BA1E9C">
      <w:pPr>
        <w:tabs>
          <w:tab w:val="clear" w:pos="567"/>
        </w:tabs>
        <w:spacing w:line="240" w:lineRule="auto"/>
        <w:rPr>
          <w:szCs w:val="22"/>
        </w:rPr>
      </w:pPr>
    </w:p>
    <w:p w14:paraId="704CD804" w14:textId="77777777" w:rsidR="00BA1E9C" w:rsidRDefault="00B00BA9">
      <w:pPr>
        <w:pStyle w:val="Style1"/>
      </w:pPr>
      <w:r>
        <w:rPr>
          <w:shd w:val="clear" w:color="auto" w:fill="D3D3D3"/>
        </w:rPr>
        <w:t>2.</w:t>
      </w:r>
      <w:r>
        <w:tab/>
        <w:t>Sastāvs</w:t>
      </w:r>
    </w:p>
    <w:p w14:paraId="4F07F662" w14:textId="77777777" w:rsidR="00BA1E9C" w:rsidRDefault="00BA1E9C">
      <w:pPr>
        <w:tabs>
          <w:tab w:val="clear" w:pos="567"/>
        </w:tabs>
        <w:autoSpaceDE w:val="0"/>
        <w:spacing w:line="240" w:lineRule="auto"/>
        <w:rPr>
          <w:color w:val="000000"/>
          <w:sz w:val="24"/>
          <w:szCs w:val="24"/>
          <w:lang w:eastAsia="en-GB"/>
        </w:rPr>
      </w:pPr>
    </w:p>
    <w:p w14:paraId="7F83DAD9" w14:textId="77777777" w:rsidR="00BA1E9C" w:rsidRDefault="00B00BA9">
      <w:pPr>
        <w:tabs>
          <w:tab w:val="clear" w:pos="567"/>
        </w:tabs>
        <w:autoSpaceDE w:val="0"/>
        <w:spacing w:line="240" w:lineRule="auto"/>
        <w:rPr>
          <w:color w:val="000000"/>
          <w:szCs w:val="22"/>
          <w:lang w:eastAsia="en-GB"/>
        </w:rPr>
      </w:pPr>
      <w:r>
        <w:rPr>
          <w:color w:val="000000"/>
          <w:szCs w:val="22"/>
          <w:lang w:eastAsia="en-GB"/>
        </w:rPr>
        <w:t>1 ml šķīduma satur:</w:t>
      </w:r>
    </w:p>
    <w:p w14:paraId="006FC174" w14:textId="77777777" w:rsidR="00BA1E9C" w:rsidRDefault="00B00BA9">
      <w:pPr>
        <w:tabs>
          <w:tab w:val="clear" w:pos="567"/>
        </w:tabs>
        <w:autoSpaceDE w:val="0"/>
        <w:spacing w:line="240" w:lineRule="auto"/>
      </w:pPr>
      <w:r>
        <w:rPr>
          <w:b/>
          <w:bCs/>
          <w:color w:val="000000"/>
          <w:szCs w:val="22"/>
          <w:lang w:eastAsia="en-GB"/>
        </w:rPr>
        <w:t>Aktīvā viela:</w:t>
      </w:r>
    </w:p>
    <w:p w14:paraId="5A5D341D" w14:textId="77777777" w:rsidR="00BA1E9C" w:rsidRDefault="00B00BA9">
      <w:pPr>
        <w:tabs>
          <w:tab w:val="clear" w:pos="567"/>
        </w:tabs>
        <w:autoSpaceDE w:val="0"/>
        <w:spacing w:line="240" w:lineRule="auto"/>
        <w:rPr>
          <w:color w:val="000000"/>
          <w:szCs w:val="22"/>
          <w:lang w:eastAsia="en-GB"/>
        </w:rPr>
      </w:pPr>
      <w:r>
        <w:rPr>
          <w:color w:val="000000"/>
          <w:szCs w:val="22"/>
          <w:lang w:eastAsia="en-GB"/>
        </w:rPr>
        <w:t>Oksitetraciklīns.............................200 mg</w:t>
      </w:r>
    </w:p>
    <w:p w14:paraId="44A5267C" w14:textId="77777777" w:rsidR="00BA1E9C" w:rsidRDefault="00B00BA9">
      <w:pPr>
        <w:tabs>
          <w:tab w:val="clear" w:pos="567"/>
        </w:tabs>
        <w:autoSpaceDE w:val="0"/>
        <w:spacing w:line="240" w:lineRule="auto"/>
        <w:rPr>
          <w:color w:val="000000"/>
          <w:szCs w:val="22"/>
          <w:lang w:eastAsia="en-GB"/>
        </w:rPr>
      </w:pPr>
      <w:r>
        <w:rPr>
          <w:color w:val="000000"/>
          <w:szCs w:val="22"/>
          <w:lang w:eastAsia="en-GB"/>
        </w:rPr>
        <w:t>(atbilst 215,6mg oksitetraciklīna dihidrāta)</w:t>
      </w:r>
    </w:p>
    <w:p w14:paraId="0EC24236" w14:textId="77777777" w:rsidR="00BA1E9C" w:rsidRDefault="00BA1E9C">
      <w:pPr>
        <w:tabs>
          <w:tab w:val="clear" w:pos="567"/>
        </w:tabs>
        <w:autoSpaceDE w:val="0"/>
        <w:spacing w:line="240" w:lineRule="auto"/>
        <w:rPr>
          <w:b/>
          <w:bCs/>
          <w:color w:val="000000"/>
          <w:szCs w:val="22"/>
          <w:lang w:eastAsia="en-GB"/>
        </w:rPr>
      </w:pPr>
    </w:p>
    <w:p w14:paraId="4D72B8F4" w14:textId="77777777" w:rsidR="00BA1E9C" w:rsidRDefault="00B00BA9">
      <w:pPr>
        <w:tabs>
          <w:tab w:val="clear" w:pos="567"/>
        </w:tabs>
        <w:autoSpaceDE w:val="0"/>
        <w:spacing w:line="240" w:lineRule="auto"/>
      </w:pPr>
      <w:r>
        <w:rPr>
          <w:b/>
          <w:bCs/>
          <w:color w:val="000000"/>
          <w:szCs w:val="22"/>
          <w:lang w:eastAsia="en-GB"/>
        </w:rPr>
        <w:t xml:space="preserve">Palīgvielas: </w:t>
      </w:r>
    </w:p>
    <w:p w14:paraId="452E5057" w14:textId="77777777" w:rsidR="00BA1E9C" w:rsidRDefault="00B00BA9">
      <w:pPr>
        <w:tabs>
          <w:tab w:val="clear" w:pos="567"/>
        </w:tabs>
        <w:spacing w:line="240" w:lineRule="auto"/>
      </w:pPr>
      <w:r>
        <w:rPr>
          <w:color w:val="000000"/>
          <w:szCs w:val="22"/>
          <w:lang w:eastAsia="en-GB"/>
        </w:rPr>
        <w:t>Nātrija formaldehīda sulfoksilāts                            1,5 mg</w:t>
      </w:r>
    </w:p>
    <w:p w14:paraId="1CCD026F" w14:textId="77777777" w:rsidR="00BA1E9C" w:rsidRDefault="00BA1E9C">
      <w:pPr>
        <w:tabs>
          <w:tab w:val="clear" w:pos="567"/>
        </w:tabs>
        <w:spacing w:line="240" w:lineRule="auto"/>
        <w:rPr>
          <w:szCs w:val="22"/>
        </w:rPr>
      </w:pPr>
    </w:p>
    <w:p w14:paraId="7FE31438" w14:textId="77777777" w:rsidR="00BA1E9C" w:rsidRDefault="00BA1E9C">
      <w:pPr>
        <w:tabs>
          <w:tab w:val="clear" w:pos="567"/>
        </w:tabs>
        <w:spacing w:line="240" w:lineRule="auto"/>
        <w:rPr>
          <w:szCs w:val="22"/>
        </w:rPr>
      </w:pPr>
    </w:p>
    <w:p w14:paraId="458B9584" w14:textId="77777777" w:rsidR="00BA1E9C" w:rsidRDefault="00B00BA9">
      <w:pPr>
        <w:pStyle w:val="Style1"/>
      </w:pPr>
      <w:r>
        <w:rPr>
          <w:shd w:val="clear" w:color="auto" w:fill="D3D3D3"/>
        </w:rPr>
        <w:t>3.</w:t>
      </w:r>
      <w:r>
        <w:tab/>
        <w:t>Mērķsugas</w:t>
      </w:r>
    </w:p>
    <w:p w14:paraId="16F3B575" w14:textId="77777777" w:rsidR="00BA1E9C" w:rsidRDefault="00BA1E9C">
      <w:pPr>
        <w:tabs>
          <w:tab w:val="clear" w:pos="567"/>
        </w:tabs>
        <w:spacing w:line="240" w:lineRule="auto"/>
        <w:rPr>
          <w:szCs w:val="22"/>
        </w:rPr>
      </w:pPr>
    </w:p>
    <w:p w14:paraId="1E850E71" w14:textId="77777777" w:rsidR="00BA1E9C" w:rsidRDefault="00B00BA9">
      <w:pPr>
        <w:tabs>
          <w:tab w:val="clear" w:pos="567"/>
        </w:tabs>
        <w:spacing w:line="240" w:lineRule="auto"/>
        <w:rPr>
          <w:szCs w:val="22"/>
        </w:rPr>
      </w:pPr>
      <w:r>
        <w:rPr>
          <w:szCs w:val="22"/>
        </w:rPr>
        <w:t>Liellopi, aitas, kazas, cūkas.</w:t>
      </w:r>
    </w:p>
    <w:p w14:paraId="7187BCB8" w14:textId="77777777" w:rsidR="00BA1E9C" w:rsidRDefault="00BA1E9C">
      <w:pPr>
        <w:tabs>
          <w:tab w:val="clear" w:pos="567"/>
        </w:tabs>
        <w:spacing w:line="240" w:lineRule="auto"/>
        <w:rPr>
          <w:szCs w:val="22"/>
        </w:rPr>
      </w:pPr>
    </w:p>
    <w:p w14:paraId="7F5FDD78" w14:textId="77777777" w:rsidR="00BA1E9C" w:rsidRDefault="00BA1E9C">
      <w:pPr>
        <w:tabs>
          <w:tab w:val="clear" w:pos="567"/>
        </w:tabs>
        <w:spacing w:line="240" w:lineRule="auto"/>
        <w:rPr>
          <w:szCs w:val="22"/>
        </w:rPr>
      </w:pPr>
    </w:p>
    <w:p w14:paraId="1BC043E6" w14:textId="77777777" w:rsidR="00BA1E9C" w:rsidRDefault="00B00BA9">
      <w:pPr>
        <w:pStyle w:val="Style1"/>
      </w:pPr>
      <w:r>
        <w:rPr>
          <w:shd w:val="clear" w:color="auto" w:fill="D3D3D3"/>
        </w:rPr>
        <w:t>4.</w:t>
      </w:r>
      <w:r>
        <w:tab/>
        <w:t>Lietošanas indikācijas</w:t>
      </w:r>
    </w:p>
    <w:p w14:paraId="39F99969" w14:textId="77777777" w:rsidR="00BA1E9C" w:rsidRDefault="00BA1E9C">
      <w:pPr>
        <w:tabs>
          <w:tab w:val="clear" w:pos="567"/>
        </w:tabs>
        <w:autoSpaceDE w:val="0"/>
        <w:spacing w:line="240" w:lineRule="auto"/>
        <w:rPr>
          <w:color w:val="000000"/>
          <w:sz w:val="24"/>
          <w:szCs w:val="24"/>
          <w:lang w:eastAsia="en-GB"/>
        </w:rPr>
      </w:pPr>
    </w:p>
    <w:p w14:paraId="377F163B" w14:textId="77777777" w:rsidR="00BA1E9C" w:rsidRDefault="00B00BA9">
      <w:pPr>
        <w:tabs>
          <w:tab w:val="clear" w:pos="567"/>
        </w:tabs>
        <w:autoSpaceDE w:val="0"/>
        <w:spacing w:line="240" w:lineRule="auto"/>
        <w:rPr>
          <w:color w:val="000000"/>
          <w:szCs w:val="22"/>
          <w:lang w:eastAsia="en-GB"/>
        </w:rPr>
      </w:pPr>
      <w:r>
        <w:rPr>
          <w:color w:val="000000"/>
          <w:szCs w:val="22"/>
          <w:lang w:eastAsia="en-GB"/>
        </w:rPr>
        <w:t>Liellopiem, aitām, kazām un cūkām pret oksitetraciklīnu jutīgu baktēriju izraisītu infekciju ārstēšanai.</w:t>
      </w:r>
    </w:p>
    <w:p w14:paraId="21849B0B" w14:textId="77777777" w:rsidR="00BA1E9C" w:rsidRDefault="00B00BA9">
      <w:pPr>
        <w:tabs>
          <w:tab w:val="clear" w:pos="567"/>
        </w:tabs>
        <w:autoSpaceDE w:val="0"/>
        <w:spacing w:line="240" w:lineRule="auto"/>
      </w:pPr>
      <w:r>
        <w:rPr>
          <w:i/>
          <w:iCs/>
          <w:color w:val="000000"/>
          <w:szCs w:val="22"/>
          <w:lang w:eastAsia="en-GB"/>
        </w:rPr>
        <w:t>Liellopiem</w:t>
      </w:r>
      <w:r>
        <w:rPr>
          <w:bCs/>
          <w:color w:val="000000"/>
          <w:szCs w:val="22"/>
          <w:lang w:eastAsia="en-GB"/>
        </w:rPr>
        <w:t>:</w:t>
      </w:r>
      <w:r>
        <w:rPr>
          <w:b/>
          <w:bCs/>
          <w:color w:val="000000"/>
          <w:szCs w:val="22"/>
          <w:lang w:eastAsia="en-GB"/>
        </w:rPr>
        <w:t xml:space="preserve"> </w:t>
      </w:r>
      <w:r>
        <w:rPr>
          <w:color w:val="000000"/>
          <w:szCs w:val="22"/>
          <w:lang w:eastAsia="en-GB"/>
        </w:rPr>
        <w:t>pastereloze, aktinobaciloze, teļu difterija (</w:t>
      </w:r>
      <w:r>
        <w:rPr>
          <w:i/>
          <w:iCs/>
          <w:color w:val="000000"/>
          <w:szCs w:val="22"/>
          <w:lang w:eastAsia="en-GB"/>
        </w:rPr>
        <w:t>Fusobacterium necrophorum</w:t>
      </w:r>
      <w:r>
        <w:rPr>
          <w:color w:val="000000"/>
          <w:szCs w:val="22"/>
          <w:lang w:eastAsia="en-GB"/>
        </w:rPr>
        <w:t>), nagu puve, abscesi, anaplazmoze, pēcoperāciju un pēcdzemdību infekcijas, infekciozais perikardīts, konjunktivīts, pneimonija, pleirīts.</w:t>
      </w:r>
    </w:p>
    <w:p w14:paraId="773CC504" w14:textId="77777777" w:rsidR="00BA1E9C" w:rsidRDefault="00B00BA9">
      <w:pPr>
        <w:tabs>
          <w:tab w:val="clear" w:pos="567"/>
        </w:tabs>
        <w:autoSpaceDE w:val="0"/>
        <w:spacing w:line="240" w:lineRule="auto"/>
      </w:pPr>
      <w:r>
        <w:rPr>
          <w:i/>
          <w:iCs/>
          <w:color w:val="000000"/>
          <w:szCs w:val="22"/>
          <w:lang w:eastAsia="en-GB"/>
        </w:rPr>
        <w:t>Aitām un kazām</w:t>
      </w:r>
      <w:r>
        <w:rPr>
          <w:bCs/>
          <w:i/>
          <w:iCs/>
          <w:color w:val="000000"/>
          <w:szCs w:val="22"/>
          <w:lang w:eastAsia="en-GB"/>
        </w:rPr>
        <w:t>:</w:t>
      </w:r>
      <w:r>
        <w:rPr>
          <w:b/>
          <w:bCs/>
          <w:i/>
          <w:iCs/>
          <w:color w:val="000000"/>
          <w:szCs w:val="22"/>
          <w:lang w:eastAsia="en-GB"/>
        </w:rPr>
        <w:t xml:space="preserve"> </w:t>
      </w:r>
      <w:r>
        <w:rPr>
          <w:color w:val="000000"/>
          <w:szCs w:val="22"/>
          <w:lang w:eastAsia="en-GB"/>
        </w:rPr>
        <w:t>enzotiskais aborts, pneimonija, peritonīts, nagu puve, mastīts, metrīts, nabas un locītavu slimības, abscesi, pēcoperāciju un pēcdzemdību infekcijas.</w:t>
      </w:r>
    </w:p>
    <w:p w14:paraId="715F2A5A" w14:textId="77777777" w:rsidR="00BA1E9C" w:rsidRDefault="00B00BA9">
      <w:pPr>
        <w:tabs>
          <w:tab w:val="clear" w:pos="567"/>
        </w:tabs>
        <w:spacing w:line="240" w:lineRule="auto"/>
      </w:pPr>
      <w:r>
        <w:rPr>
          <w:i/>
          <w:iCs/>
          <w:color w:val="000000"/>
          <w:szCs w:val="22"/>
          <w:lang w:eastAsia="en-GB"/>
        </w:rPr>
        <w:t>Cūkām</w:t>
      </w:r>
      <w:r>
        <w:rPr>
          <w:bCs/>
          <w:i/>
          <w:iCs/>
          <w:color w:val="000000"/>
          <w:szCs w:val="22"/>
          <w:lang w:eastAsia="en-GB"/>
        </w:rPr>
        <w:t>:</w:t>
      </w:r>
      <w:r>
        <w:rPr>
          <w:b/>
          <w:bCs/>
          <w:i/>
          <w:iCs/>
          <w:color w:val="000000"/>
          <w:szCs w:val="22"/>
          <w:lang w:eastAsia="en-GB"/>
        </w:rPr>
        <w:t xml:space="preserve"> </w:t>
      </w:r>
      <w:r>
        <w:rPr>
          <w:color w:val="000000"/>
          <w:szCs w:val="22"/>
          <w:lang w:eastAsia="en-GB"/>
        </w:rPr>
        <w:t>pastereloze, pneimonija, pleirīts, MMA (mastīts- metrīts-agalaktija) sindroms, nabas un locītavu slimības, infekciozais atrofiskais rinīts, abscesi, sarkanguļa, pēcoperāciju un pēcdzemdību infekcijas.</w:t>
      </w:r>
    </w:p>
    <w:p w14:paraId="6AE8C14B" w14:textId="77777777" w:rsidR="00BA1E9C" w:rsidRDefault="00BA1E9C">
      <w:pPr>
        <w:tabs>
          <w:tab w:val="clear" w:pos="567"/>
        </w:tabs>
        <w:spacing w:line="240" w:lineRule="auto"/>
        <w:rPr>
          <w:szCs w:val="22"/>
        </w:rPr>
      </w:pPr>
    </w:p>
    <w:p w14:paraId="7E4C4B29" w14:textId="77777777" w:rsidR="00485BA1" w:rsidRDefault="00485BA1">
      <w:pPr>
        <w:tabs>
          <w:tab w:val="clear" w:pos="567"/>
        </w:tabs>
        <w:spacing w:line="240" w:lineRule="auto"/>
        <w:rPr>
          <w:szCs w:val="22"/>
        </w:rPr>
      </w:pPr>
    </w:p>
    <w:p w14:paraId="4FEC59E8" w14:textId="77777777" w:rsidR="00BA1E9C" w:rsidRDefault="00B00BA9">
      <w:pPr>
        <w:pStyle w:val="Style1"/>
      </w:pPr>
      <w:r>
        <w:rPr>
          <w:shd w:val="clear" w:color="auto" w:fill="D3D3D3"/>
        </w:rPr>
        <w:t>5.</w:t>
      </w:r>
      <w:r>
        <w:tab/>
        <w:t>Kontrindikācijas</w:t>
      </w:r>
    </w:p>
    <w:p w14:paraId="3941F66B" w14:textId="77777777" w:rsidR="00BA1E9C" w:rsidRDefault="00BA1E9C">
      <w:pPr>
        <w:tabs>
          <w:tab w:val="clear" w:pos="567"/>
        </w:tabs>
        <w:autoSpaceDE w:val="0"/>
        <w:spacing w:line="240" w:lineRule="auto"/>
        <w:rPr>
          <w:color w:val="000000"/>
          <w:sz w:val="24"/>
          <w:szCs w:val="24"/>
          <w:lang w:eastAsia="en-GB"/>
        </w:rPr>
      </w:pPr>
    </w:p>
    <w:p w14:paraId="3297383F" w14:textId="77777777" w:rsidR="00BA1E9C" w:rsidRDefault="00B00BA9">
      <w:pPr>
        <w:tabs>
          <w:tab w:val="clear" w:pos="567"/>
        </w:tabs>
        <w:autoSpaceDE w:val="0"/>
        <w:spacing w:line="240" w:lineRule="auto"/>
        <w:rPr>
          <w:color w:val="000000"/>
          <w:szCs w:val="22"/>
          <w:lang w:eastAsia="en-GB"/>
        </w:rPr>
      </w:pPr>
      <w:r>
        <w:rPr>
          <w:color w:val="000000"/>
          <w:szCs w:val="22"/>
          <w:lang w:eastAsia="en-GB"/>
        </w:rPr>
        <w:t>Nelietot suņiem, kaķiem un zirgiem.</w:t>
      </w:r>
    </w:p>
    <w:p w14:paraId="6E558666" w14:textId="77777777" w:rsidR="00BA1E9C" w:rsidRDefault="00B00BA9">
      <w:pPr>
        <w:tabs>
          <w:tab w:val="clear" w:pos="567"/>
        </w:tabs>
        <w:autoSpaceDE w:val="0"/>
        <w:spacing w:line="240" w:lineRule="auto"/>
        <w:rPr>
          <w:color w:val="000000"/>
          <w:szCs w:val="22"/>
          <w:lang w:eastAsia="en-GB"/>
        </w:rPr>
      </w:pPr>
      <w:r>
        <w:rPr>
          <w:color w:val="000000"/>
          <w:szCs w:val="22"/>
          <w:lang w:eastAsia="en-GB"/>
        </w:rPr>
        <w:t>Nelietot dzīvniekiem ar aknu vai nieru bojājumiem.</w:t>
      </w:r>
    </w:p>
    <w:p w14:paraId="6211FC20" w14:textId="77777777" w:rsidR="00BA1E9C" w:rsidRDefault="00B00BA9">
      <w:pPr>
        <w:tabs>
          <w:tab w:val="clear" w:pos="567"/>
        </w:tabs>
        <w:spacing w:line="240" w:lineRule="auto"/>
      </w:pPr>
      <w:r>
        <w:rPr>
          <w:color w:val="000000"/>
          <w:szCs w:val="22"/>
          <w:lang w:eastAsia="en-GB"/>
        </w:rPr>
        <w:t>Nelietot gadījumos, ja konstatēta pastiprināta jutība pret tetraciklīniem vai pret jebkuru no palīgvielām.</w:t>
      </w:r>
    </w:p>
    <w:p w14:paraId="6702483D" w14:textId="77777777" w:rsidR="00BA1E9C" w:rsidRDefault="00BA1E9C">
      <w:pPr>
        <w:tabs>
          <w:tab w:val="clear" w:pos="567"/>
        </w:tabs>
        <w:spacing w:line="240" w:lineRule="auto"/>
        <w:rPr>
          <w:szCs w:val="22"/>
        </w:rPr>
      </w:pPr>
    </w:p>
    <w:p w14:paraId="5D9A4C96" w14:textId="77777777" w:rsidR="00BA1E9C" w:rsidRDefault="00BA1E9C">
      <w:pPr>
        <w:tabs>
          <w:tab w:val="clear" w:pos="567"/>
        </w:tabs>
        <w:spacing w:line="240" w:lineRule="auto"/>
        <w:rPr>
          <w:szCs w:val="22"/>
        </w:rPr>
      </w:pPr>
    </w:p>
    <w:p w14:paraId="0378FD13" w14:textId="77777777" w:rsidR="00BA1E9C" w:rsidRDefault="00B00BA9">
      <w:pPr>
        <w:pStyle w:val="Style1"/>
      </w:pPr>
      <w:r>
        <w:rPr>
          <w:shd w:val="clear" w:color="auto" w:fill="D3D3D3"/>
        </w:rPr>
        <w:t>6.</w:t>
      </w:r>
      <w:r>
        <w:tab/>
        <w:t>Īpaši brīdinājumi</w:t>
      </w:r>
    </w:p>
    <w:p w14:paraId="53916891" w14:textId="77777777" w:rsidR="00BA1E9C" w:rsidRDefault="00BA1E9C">
      <w:pPr>
        <w:tabs>
          <w:tab w:val="clear" w:pos="567"/>
        </w:tabs>
        <w:spacing w:line="240" w:lineRule="auto"/>
        <w:rPr>
          <w:szCs w:val="22"/>
        </w:rPr>
      </w:pPr>
    </w:p>
    <w:p w14:paraId="0C655207" w14:textId="77777777" w:rsidR="00BA1E9C" w:rsidRDefault="00B00BA9">
      <w:pPr>
        <w:tabs>
          <w:tab w:val="clear" w:pos="567"/>
        </w:tabs>
        <w:spacing w:line="240" w:lineRule="auto"/>
      </w:pPr>
      <w:r>
        <w:rPr>
          <w:szCs w:val="22"/>
          <w:u w:val="single"/>
        </w:rPr>
        <w:t>Īpaši piesardzības pasākumi drošai lietošanai mērķsugām</w:t>
      </w:r>
      <w:r>
        <w:t>:</w:t>
      </w:r>
    </w:p>
    <w:p w14:paraId="260897BC" w14:textId="77777777" w:rsidR="00BA1E9C" w:rsidRDefault="00B00BA9">
      <w:pPr>
        <w:tabs>
          <w:tab w:val="clear" w:pos="567"/>
        </w:tabs>
        <w:autoSpaceDE w:val="0"/>
        <w:spacing w:line="240" w:lineRule="auto"/>
        <w:rPr>
          <w:color w:val="000000"/>
          <w:szCs w:val="22"/>
          <w:lang w:eastAsia="en-GB"/>
        </w:rPr>
      </w:pPr>
      <w:r>
        <w:rPr>
          <w:color w:val="000000"/>
          <w:szCs w:val="22"/>
          <w:lang w:eastAsia="en-GB"/>
        </w:rPr>
        <w:t xml:space="preserve">Lietojot šīs veterinārās zāles, jāņem vērā vispārpieņemtie antibakteriālo zāļu lietošanas pamatprincipi. </w:t>
      </w:r>
    </w:p>
    <w:p w14:paraId="32B1BBD3" w14:textId="77777777" w:rsidR="00BA1E9C" w:rsidRDefault="00B00BA9">
      <w:pPr>
        <w:tabs>
          <w:tab w:val="clear" w:pos="567"/>
        </w:tabs>
        <w:autoSpaceDE w:val="0"/>
        <w:spacing w:line="240" w:lineRule="auto"/>
        <w:rPr>
          <w:color w:val="000000"/>
          <w:szCs w:val="22"/>
          <w:lang w:eastAsia="en-GB"/>
        </w:rPr>
      </w:pPr>
      <w:r>
        <w:rPr>
          <w:color w:val="000000"/>
          <w:szCs w:val="22"/>
          <w:lang w:eastAsia="en-GB"/>
        </w:rPr>
        <w:t xml:space="preserve">Veterināro zāļu lietošana jāpamato ar no dzīvnieka izolētu baktēriju jutības testu rezultātiem. Ja tas nav iespējams, ārstēšana jāpamato ar vietēja rakstura (reģionālā/novietnes līmenī) epidemioloģisko informāciju par baktēriju jutību. </w:t>
      </w:r>
    </w:p>
    <w:p w14:paraId="677F4DCA" w14:textId="77777777" w:rsidR="00BA1E9C" w:rsidRDefault="00B00BA9">
      <w:pPr>
        <w:tabs>
          <w:tab w:val="clear" w:pos="567"/>
        </w:tabs>
        <w:spacing w:line="240" w:lineRule="auto"/>
      </w:pPr>
      <w:r>
        <w:rPr>
          <w:color w:val="000000"/>
          <w:szCs w:val="22"/>
          <w:lang w:eastAsia="en-GB"/>
        </w:rPr>
        <w:lastRenderedPageBreak/>
        <w:t>Lietojot veterinārās zāles atšķirīgi no zāļu aprakstā dotajiem norādījumiem, var palielināties baktēriju izplatība, kuras rezistentas pret oksitetraciklīnu, un pavājināties ārstēšanas efektivitāte ar citiem tetraciklīniem līdz pat iespējamai krusteniskai rezistencei.</w:t>
      </w:r>
    </w:p>
    <w:p w14:paraId="19D82ACF" w14:textId="77777777" w:rsidR="00BA1E9C" w:rsidRDefault="00BA1E9C">
      <w:pPr>
        <w:tabs>
          <w:tab w:val="clear" w:pos="567"/>
        </w:tabs>
        <w:spacing w:line="240" w:lineRule="auto"/>
        <w:rPr>
          <w:szCs w:val="22"/>
          <w:u w:val="single"/>
        </w:rPr>
      </w:pPr>
    </w:p>
    <w:p w14:paraId="14EEF44F" w14:textId="77777777" w:rsidR="00BA1E9C" w:rsidRDefault="00B00BA9">
      <w:pPr>
        <w:tabs>
          <w:tab w:val="clear" w:pos="567"/>
        </w:tabs>
        <w:spacing w:line="240" w:lineRule="auto"/>
      </w:pPr>
      <w:r>
        <w:rPr>
          <w:szCs w:val="22"/>
          <w:u w:val="single"/>
        </w:rPr>
        <w:t>Īpaši piesardzības pasākumi, kas jāievēro personai, kura ievada veterinārās zāles dzīvniekiem</w:t>
      </w:r>
      <w:r>
        <w:t>:</w:t>
      </w:r>
    </w:p>
    <w:p w14:paraId="2E1F3B83" w14:textId="77777777" w:rsidR="00BA1E9C" w:rsidRDefault="00B00BA9">
      <w:pPr>
        <w:tabs>
          <w:tab w:val="clear" w:pos="567"/>
        </w:tabs>
        <w:autoSpaceDE w:val="0"/>
        <w:spacing w:line="240" w:lineRule="auto"/>
        <w:rPr>
          <w:color w:val="000000"/>
          <w:szCs w:val="22"/>
          <w:lang w:eastAsia="en-GB"/>
        </w:rPr>
      </w:pPr>
      <w:r>
        <w:rPr>
          <w:color w:val="000000"/>
          <w:szCs w:val="22"/>
          <w:lang w:eastAsia="en-GB"/>
        </w:rPr>
        <w:t>Ja notikusi nejauša pašinjicēšana, nekavējoties meklēt medicīnisko palīdzību un uzrādīt lietošanas instrukciju vai iepakojuma marķējumu ārstam.</w:t>
      </w:r>
    </w:p>
    <w:p w14:paraId="7F3AEEFF" w14:textId="77777777" w:rsidR="00BA1E9C" w:rsidRDefault="00B00BA9">
      <w:pPr>
        <w:tabs>
          <w:tab w:val="clear" w:pos="567"/>
        </w:tabs>
        <w:autoSpaceDE w:val="0"/>
        <w:spacing w:line="240" w:lineRule="auto"/>
        <w:rPr>
          <w:color w:val="000000"/>
          <w:szCs w:val="22"/>
          <w:lang w:eastAsia="en-GB"/>
        </w:rPr>
      </w:pPr>
      <w:r>
        <w:rPr>
          <w:color w:val="000000"/>
          <w:szCs w:val="22"/>
          <w:lang w:eastAsia="en-GB"/>
        </w:rPr>
        <w:t>Personām ar zināmu pastiprinātu jutību pret tetraciklīniem jāizvairās no saskares ar šīm veterinārajām zālēm.</w:t>
      </w:r>
    </w:p>
    <w:p w14:paraId="12EFA7BF" w14:textId="77777777" w:rsidR="00BA1E9C" w:rsidRDefault="00B00BA9">
      <w:r>
        <w:rPr>
          <w:color w:val="000000"/>
          <w:szCs w:val="22"/>
          <w:lang w:eastAsia="en-GB"/>
        </w:rPr>
        <w:t>Pēc rīkošanās ar šīm veterinārajām zālēm nomazgāt rokas.</w:t>
      </w:r>
    </w:p>
    <w:p w14:paraId="0F030EA6" w14:textId="77777777" w:rsidR="00BA1E9C" w:rsidRDefault="00BA1E9C">
      <w:pPr>
        <w:rPr>
          <w:szCs w:val="22"/>
        </w:rPr>
      </w:pPr>
    </w:p>
    <w:p w14:paraId="0355BBFE" w14:textId="77777777" w:rsidR="00BA1E9C" w:rsidRDefault="00B00BA9">
      <w:pPr>
        <w:tabs>
          <w:tab w:val="clear" w:pos="567"/>
        </w:tabs>
        <w:spacing w:line="240" w:lineRule="auto"/>
      </w:pPr>
      <w:r>
        <w:rPr>
          <w:szCs w:val="22"/>
          <w:u w:val="single"/>
        </w:rPr>
        <w:t>Grūsnība un laktācija</w:t>
      </w:r>
      <w:r>
        <w:t>:</w:t>
      </w:r>
    </w:p>
    <w:p w14:paraId="0B19AFE8" w14:textId="77777777" w:rsidR="00BA1E9C" w:rsidRDefault="00B00BA9">
      <w:pPr>
        <w:tabs>
          <w:tab w:val="clear" w:pos="567"/>
        </w:tabs>
        <w:autoSpaceDE w:val="0"/>
        <w:spacing w:line="240" w:lineRule="auto"/>
        <w:rPr>
          <w:color w:val="000000"/>
          <w:szCs w:val="22"/>
          <w:lang w:eastAsia="en-GB"/>
        </w:rPr>
      </w:pPr>
      <w:r>
        <w:rPr>
          <w:color w:val="000000"/>
          <w:szCs w:val="22"/>
          <w:lang w:eastAsia="en-GB"/>
        </w:rPr>
        <w:t xml:space="preserve">Laboratoriskajos pētījumos dzīvniekiem netika konstatēta embriotoksiska un teratogēna iedarbība. Tetraciklīniem nav toksiskas ietekmes uz reproduktīvajām funkcijām. </w:t>
      </w:r>
    </w:p>
    <w:p w14:paraId="737E0655" w14:textId="77777777" w:rsidR="00BA1E9C" w:rsidRDefault="00B00BA9">
      <w:pPr>
        <w:tabs>
          <w:tab w:val="clear" w:pos="567"/>
        </w:tabs>
        <w:spacing w:line="240" w:lineRule="auto"/>
      </w:pPr>
      <w:r>
        <w:rPr>
          <w:color w:val="000000"/>
          <w:szCs w:val="22"/>
          <w:lang w:eastAsia="en-GB"/>
        </w:rPr>
        <w:t>Zobu krāsas maiņa nav bieži sastopama, lietojot ieteicamās devās.</w:t>
      </w:r>
    </w:p>
    <w:p w14:paraId="44C5EDC7" w14:textId="77777777" w:rsidR="00BA1E9C" w:rsidRDefault="00BA1E9C">
      <w:pPr>
        <w:tabs>
          <w:tab w:val="clear" w:pos="567"/>
        </w:tabs>
        <w:spacing w:line="240" w:lineRule="auto"/>
        <w:rPr>
          <w:szCs w:val="22"/>
        </w:rPr>
      </w:pPr>
    </w:p>
    <w:p w14:paraId="783FD1B8" w14:textId="77777777" w:rsidR="00BA1E9C" w:rsidRDefault="00B00BA9">
      <w:pPr>
        <w:tabs>
          <w:tab w:val="clear" w:pos="567"/>
        </w:tabs>
        <w:spacing w:line="240" w:lineRule="auto"/>
      </w:pPr>
      <w:r>
        <w:rPr>
          <w:szCs w:val="22"/>
          <w:u w:val="single"/>
        </w:rPr>
        <w:t>Mijiedarbība ar citām zālēm un citi mijiedarbības veidi:</w:t>
      </w:r>
    </w:p>
    <w:p w14:paraId="435D654C" w14:textId="77777777" w:rsidR="00BA1E9C" w:rsidRDefault="00B00BA9">
      <w:pPr>
        <w:tabs>
          <w:tab w:val="clear" w:pos="567"/>
        </w:tabs>
        <w:spacing w:line="240" w:lineRule="auto"/>
        <w:rPr>
          <w:szCs w:val="22"/>
        </w:rPr>
      </w:pPr>
      <w:r>
        <w:rPr>
          <w:szCs w:val="22"/>
        </w:rPr>
        <w:t>Nelietot oksitetraciklīnu vienlaicīgi ar citām antimikrobiālām vielām.</w:t>
      </w:r>
    </w:p>
    <w:p w14:paraId="7103EC59" w14:textId="77777777" w:rsidR="00BA1E9C" w:rsidRDefault="00BA1E9C">
      <w:pPr>
        <w:tabs>
          <w:tab w:val="clear" w:pos="567"/>
        </w:tabs>
        <w:spacing w:line="240" w:lineRule="auto"/>
      </w:pPr>
    </w:p>
    <w:p w14:paraId="3E8F0712" w14:textId="77777777" w:rsidR="00BA1E9C" w:rsidRDefault="00B00BA9">
      <w:pPr>
        <w:tabs>
          <w:tab w:val="clear" w:pos="567"/>
        </w:tabs>
        <w:spacing w:line="240" w:lineRule="auto"/>
      </w:pPr>
      <w:r>
        <w:rPr>
          <w:szCs w:val="22"/>
          <w:u w:val="single"/>
        </w:rPr>
        <w:t>Pārdozēšana</w:t>
      </w:r>
      <w:r>
        <w:t>:</w:t>
      </w:r>
    </w:p>
    <w:p w14:paraId="100F1762" w14:textId="77777777" w:rsidR="00BA1E9C" w:rsidRDefault="00B00BA9">
      <w:pPr>
        <w:tabs>
          <w:tab w:val="clear" w:pos="567"/>
        </w:tabs>
        <w:spacing w:line="240" w:lineRule="auto"/>
        <w:rPr>
          <w:szCs w:val="22"/>
        </w:rPr>
      </w:pPr>
      <w:r>
        <w:rPr>
          <w:szCs w:val="22"/>
        </w:rPr>
        <w:t xml:space="preserve">Oksitetraciklīnam ir zema toksicitāte, tāpēc pārdozējot nenovēro citas reakcijas izņemot tās, kas </w:t>
      </w:r>
    </w:p>
    <w:p w14:paraId="2E00B5E9" w14:textId="77777777" w:rsidR="00BA1E9C" w:rsidRDefault="00B00BA9">
      <w:pPr>
        <w:tabs>
          <w:tab w:val="clear" w:pos="567"/>
        </w:tabs>
        <w:spacing w:line="240" w:lineRule="auto"/>
        <w:rPr>
          <w:szCs w:val="22"/>
        </w:rPr>
      </w:pPr>
      <w:r>
        <w:rPr>
          <w:szCs w:val="22"/>
        </w:rPr>
        <w:t>minētas 7. punktā.</w:t>
      </w:r>
    </w:p>
    <w:p w14:paraId="6C4F8508" w14:textId="77777777" w:rsidR="00BA1E9C" w:rsidRDefault="00BA1E9C">
      <w:pPr>
        <w:tabs>
          <w:tab w:val="clear" w:pos="567"/>
        </w:tabs>
        <w:spacing w:line="240" w:lineRule="auto"/>
        <w:rPr>
          <w:szCs w:val="22"/>
        </w:rPr>
      </w:pPr>
    </w:p>
    <w:p w14:paraId="41AF787F" w14:textId="77777777" w:rsidR="00BA1E9C" w:rsidRDefault="00B00BA9">
      <w:pPr>
        <w:tabs>
          <w:tab w:val="clear" w:pos="567"/>
        </w:tabs>
        <w:spacing w:line="240" w:lineRule="auto"/>
      </w:pPr>
      <w:r>
        <w:rPr>
          <w:szCs w:val="22"/>
          <w:u w:val="single"/>
        </w:rPr>
        <w:t>Būtiska nesaderība</w:t>
      </w:r>
      <w:r>
        <w:t>:</w:t>
      </w:r>
    </w:p>
    <w:p w14:paraId="03AE6BE5" w14:textId="77777777" w:rsidR="00BA1E9C" w:rsidRDefault="00B00BA9">
      <w:pPr>
        <w:tabs>
          <w:tab w:val="clear" w:pos="567"/>
        </w:tabs>
        <w:spacing w:line="240" w:lineRule="auto"/>
        <w:rPr>
          <w:szCs w:val="22"/>
        </w:rPr>
      </w:pPr>
      <w:r>
        <w:rPr>
          <w:szCs w:val="22"/>
        </w:rPr>
        <w:t>Nelietot maisījumā ar citām veterinārajām zālēm.</w:t>
      </w:r>
    </w:p>
    <w:p w14:paraId="556DD5CE" w14:textId="77777777" w:rsidR="00BA1E9C" w:rsidRDefault="00BA1E9C">
      <w:pPr>
        <w:tabs>
          <w:tab w:val="clear" w:pos="567"/>
        </w:tabs>
        <w:spacing w:line="240" w:lineRule="auto"/>
        <w:rPr>
          <w:szCs w:val="22"/>
        </w:rPr>
      </w:pPr>
    </w:p>
    <w:p w14:paraId="71B020B7" w14:textId="77777777" w:rsidR="00BA1E9C" w:rsidRDefault="00BA1E9C">
      <w:pPr>
        <w:tabs>
          <w:tab w:val="clear" w:pos="567"/>
        </w:tabs>
        <w:spacing w:line="240" w:lineRule="auto"/>
        <w:rPr>
          <w:szCs w:val="22"/>
        </w:rPr>
      </w:pPr>
    </w:p>
    <w:p w14:paraId="0CE4075E" w14:textId="77777777" w:rsidR="00BA1E9C" w:rsidRDefault="00B00BA9">
      <w:pPr>
        <w:pStyle w:val="Style1"/>
      </w:pPr>
      <w:r>
        <w:rPr>
          <w:shd w:val="clear" w:color="auto" w:fill="D3D3D3"/>
        </w:rPr>
        <w:t>7.</w:t>
      </w:r>
      <w:r>
        <w:tab/>
        <w:t>Blakusparādības</w:t>
      </w:r>
    </w:p>
    <w:p w14:paraId="22FB506E" w14:textId="77777777" w:rsidR="00BA1E9C" w:rsidRDefault="00BA1E9C">
      <w:pPr>
        <w:rPr>
          <w:szCs w:val="22"/>
        </w:rPr>
      </w:pPr>
    </w:p>
    <w:p w14:paraId="1E49570B" w14:textId="77777777" w:rsidR="00BA1E9C" w:rsidRDefault="00B00BA9">
      <w:pPr>
        <w:spacing w:line="240" w:lineRule="auto"/>
        <w:rPr>
          <w:szCs w:val="22"/>
        </w:rPr>
      </w:pPr>
      <w:r>
        <w:rPr>
          <w:szCs w:val="22"/>
        </w:rPr>
        <w:t>Liellopi</w:t>
      </w:r>
    </w:p>
    <w:p w14:paraId="7E9CF49E" w14:textId="77777777" w:rsidR="00BA1E9C" w:rsidRDefault="00BA1E9C">
      <w:pPr>
        <w:spacing w:line="240" w:lineRule="auto"/>
        <w:rPr>
          <w:szCs w:val="22"/>
        </w:rPr>
      </w:pPr>
    </w:p>
    <w:tbl>
      <w:tblPr>
        <w:tblW w:w="5000" w:type="pct"/>
        <w:tblCellMar>
          <w:left w:w="10" w:type="dxa"/>
          <w:right w:w="10" w:type="dxa"/>
        </w:tblCellMar>
        <w:tblLook w:val="0000" w:firstRow="0" w:lastRow="0" w:firstColumn="0" w:lastColumn="0" w:noHBand="0" w:noVBand="0"/>
      </w:tblPr>
      <w:tblGrid>
        <w:gridCol w:w="4675"/>
        <w:gridCol w:w="4675"/>
      </w:tblGrid>
      <w:tr w:rsidR="00BA1E9C" w14:paraId="55B64338"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1575E" w14:textId="77777777" w:rsidR="00BA1E9C" w:rsidRDefault="00B00BA9">
            <w:pPr>
              <w:spacing w:line="240" w:lineRule="auto"/>
            </w:pPr>
            <w:r>
              <w:t>Bieži</w:t>
            </w:r>
          </w:p>
          <w:p w14:paraId="3F61A8A9" w14:textId="77777777" w:rsidR="00BA1E9C" w:rsidRDefault="00B00BA9">
            <w:pPr>
              <w:spacing w:line="240" w:lineRule="auto"/>
            </w:pPr>
            <w:r>
              <w:t>(1 līdz 10 dzīvniekiem/100 ārstētajiem dzīvniekiem):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02A5F" w14:textId="77777777" w:rsidR="00BA1E9C" w:rsidRDefault="00B00BA9">
            <w:pPr>
              <w:spacing w:line="240" w:lineRule="auto"/>
            </w:pPr>
            <w:r>
              <w:t>Pietūkums injekcijas vietā *; sāpes injekcijas vietā*</w:t>
            </w:r>
          </w:p>
        </w:tc>
      </w:tr>
      <w:tr w:rsidR="00BA1E9C" w14:paraId="52D16844"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DAAD6" w14:textId="77777777" w:rsidR="00BA1E9C" w:rsidRDefault="00B00BA9">
            <w:pPr>
              <w:spacing w:line="240" w:lineRule="auto"/>
            </w:pPr>
            <w:r>
              <w:t>Ļoti reti</w:t>
            </w:r>
          </w:p>
          <w:p w14:paraId="74CFB85E" w14:textId="77777777" w:rsidR="00BA1E9C" w:rsidRDefault="00B00BA9">
            <w:pPr>
              <w:spacing w:line="240" w:lineRule="auto"/>
            </w:pPr>
            <w:r>
              <w:t>(&lt;1 dzīvniekam/10 000 ārstētajiem dzīvniekiem, tostarp atsevišķi ziņojumi):</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0EC2D" w14:textId="77777777" w:rsidR="00BA1E9C" w:rsidRDefault="00B00BA9">
            <w:pPr>
              <w:spacing w:line="240" w:lineRule="auto"/>
            </w:pPr>
            <w:r>
              <w:t>Pastiprinātas jutības reakcijas (anafilakse )</w:t>
            </w:r>
          </w:p>
        </w:tc>
      </w:tr>
      <w:tr w:rsidR="00BA1E9C" w14:paraId="76A8305E"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9E473" w14:textId="77777777" w:rsidR="00BA1E9C" w:rsidRDefault="00B00BA9">
            <w:pPr>
              <w:spacing w:line="240" w:lineRule="auto"/>
            </w:pPr>
            <w:r>
              <w:t>Nenoteikts biežums( nevar noteikt pēc pieejamiem datiem):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F143" w14:textId="77777777" w:rsidR="00BA1E9C" w:rsidRDefault="00B00BA9">
            <w:pPr>
              <w:spacing w:line="240" w:lineRule="auto"/>
              <w:rPr>
                <w:iCs/>
                <w:szCs w:val="22"/>
              </w:rPr>
            </w:pPr>
            <w:r>
              <w:rPr>
                <w:iCs/>
                <w:szCs w:val="22"/>
              </w:rPr>
              <w:t xml:space="preserve">Fotosensibilizācija </w:t>
            </w:r>
          </w:p>
          <w:p w14:paraId="157D56E2" w14:textId="77777777" w:rsidR="00BA1E9C" w:rsidRDefault="00B00BA9">
            <w:pPr>
              <w:spacing w:line="240" w:lineRule="auto"/>
              <w:rPr>
                <w:szCs w:val="22"/>
              </w:rPr>
            </w:pPr>
            <w:r>
              <w:rPr>
                <w:szCs w:val="22"/>
              </w:rPr>
              <w:t>Zobu krāsas maiņa **</w:t>
            </w:r>
          </w:p>
          <w:p w14:paraId="047AD0C8" w14:textId="77777777" w:rsidR="00BA1E9C" w:rsidRDefault="00B00BA9">
            <w:pPr>
              <w:spacing w:line="240" w:lineRule="auto"/>
            </w:pPr>
            <w:r>
              <w:rPr>
                <w:iCs/>
                <w:szCs w:val="22"/>
              </w:rPr>
              <w:t>Nekroze injekcijas vietā</w:t>
            </w:r>
            <w:r>
              <w:rPr>
                <w:szCs w:val="22"/>
              </w:rPr>
              <w:t>*</w:t>
            </w:r>
          </w:p>
        </w:tc>
      </w:tr>
    </w:tbl>
    <w:p w14:paraId="2D546A54" w14:textId="77777777" w:rsidR="00BA1E9C" w:rsidRDefault="00BA1E9C">
      <w:pPr>
        <w:tabs>
          <w:tab w:val="clear" w:pos="567"/>
        </w:tabs>
        <w:spacing w:line="240" w:lineRule="auto"/>
        <w:rPr>
          <w:szCs w:val="22"/>
        </w:rPr>
      </w:pPr>
    </w:p>
    <w:p w14:paraId="1A7FECD0" w14:textId="77777777" w:rsidR="00BA1E9C" w:rsidRDefault="00B00BA9">
      <w:pPr>
        <w:tabs>
          <w:tab w:val="clear" w:pos="567"/>
        </w:tabs>
        <w:spacing w:line="240" w:lineRule="auto"/>
        <w:rPr>
          <w:szCs w:val="22"/>
        </w:rPr>
      </w:pPr>
      <w:r>
        <w:rPr>
          <w:szCs w:val="22"/>
        </w:rPr>
        <w:t>*Lai samazinātu šādu blakusparādību biežumu, katrā injekcijas vietā ievadīt ne vairāk kā 20 ml.</w:t>
      </w:r>
    </w:p>
    <w:p w14:paraId="38ACA84D" w14:textId="77777777" w:rsidR="00BA1E9C" w:rsidRDefault="00B00BA9">
      <w:pPr>
        <w:tabs>
          <w:tab w:val="clear" w:pos="567"/>
        </w:tabs>
        <w:spacing w:line="240" w:lineRule="auto"/>
        <w:rPr>
          <w:szCs w:val="22"/>
        </w:rPr>
      </w:pPr>
      <w:r>
        <w:rPr>
          <w:szCs w:val="22"/>
        </w:rPr>
        <w:t>** Lietojot zobu attīstības periodā, tostarp grūsnības beigu posmā, tāpat kā visiem tetraciklīniem tika novērotas sistēmiskas blakusparādības, piemēram kuņģa-zarnu trakta darbības traucējumi.</w:t>
      </w:r>
    </w:p>
    <w:p w14:paraId="52C1696A" w14:textId="77777777" w:rsidR="00BA1E9C" w:rsidRDefault="00BA1E9C">
      <w:pPr>
        <w:tabs>
          <w:tab w:val="clear" w:pos="567"/>
        </w:tabs>
        <w:spacing w:line="240" w:lineRule="auto"/>
        <w:rPr>
          <w:szCs w:val="22"/>
        </w:rPr>
      </w:pPr>
    </w:p>
    <w:p w14:paraId="60F5E05F" w14:textId="77777777" w:rsidR="00BA1E9C" w:rsidRDefault="00B00BA9">
      <w:pPr>
        <w:tabs>
          <w:tab w:val="clear" w:pos="567"/>
        </w:tabs>
        <w:spacing w:line="240" w:lineRule="auto"/>
        <w:rPr>
          <w:szCs w:val="22"/>
        </w:rPr>
      </w:pPr>
      <w:r>
        <w:rPr>
          <w:szCs w:val="22"/>
        </w:rPr>
        <w:t>Aitas, kazas</w:t>
      </w:r>
    </w:p>
    <w:p w14:paraId="53AD86AF" w14:textId="77777777" w:rsidR="00BA1E9C" w:rsidRDefault="00BA1E9C">
      <w:pPr>
        <w:tabs>
          <w:tab w:val="clear" w:pos="567"/>
        </w:tabs>
        <w:spacing w:line="240" w:lineRule="auto"/>
        <w:rPr>
          <w:szCs w:val="22"/>
        </w:rPr>
      </w:pPr>
    </w:p>
    <w:tbl>
      <w:tblPr>
        <w:tblW w:w="5000" w:type="pct"/>
        <w:tblCellMar>
          <w:left w:w="10" w:type="dxa"/>
          <w:right w:w="10" w:type="dxa"/>
        </w:tblCellMar>
        <w:tblLook w:val="0000" w:firstRow="0" w:lastRow="0" w:firstColumn="0" w:lastColumn="0" w:noHBand="0" w:noVBand="0"/>
      </w:tblPr>
      <w:tblGrid>
        <w:gridCol w:w="4675"/>
        <w:gridCol w:w="4675"/>
      </w:tblGrid>
      <w:tr w:rsidR="00BA1E9C" w14:paraId="48C78A9D"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4D02D" w14:textId="77777777" w:rsidR="00BA1E9C" w:rsidRDefault="00B00BA9">
            <w:pPr>
              <w:spacing w:line="240" w:lineRule="auto"/>
            </w:pPr>
            <w:r>
              <w:t>Bieži</w:t>
            </w:r>
          </w:p>
          <w:p w14:paraId="108317B5" w14:textId="77777777" w:rsidR="00BA1E9C" w:rsidRDefault="00B00BA9">
            <w:pPr>
              <w:spacing w:line="240" w:lineRule="auto"/>
            </w:pPr>
            <w:r>
              <w:t>(1 līdz 10 dzīvniekiem/100 ārstētajiem dzīvniekiem):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12790" w14:textId="77777777" w:rsidR="00BA1E9C" w:rsidRDefault="00B00BA9">
            <w:pPr>
              <w:spacing w:line="240" w:lineRule="auto"/>
            </w:pPr>
            <w:r>
              <w:t>Pietūkums injekcijas vietā *; sāpes injekcijas vietā*</w:t>
            </w:r>
          </w:p>
        </w:tc>
      </w:tr>
      <w:tr w:rsidR="00BA1E9C" w14:paraId="3463D2F4"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D97EE" w14:textId="77777777" w:rsidR="00BA1E9C" w:rsidRDefault="00B00BA9">
            <w:pPr>
              <w:spacing w:line="240" w:lineRule="auto"/>
            </w:pPr>
            <w:r>
              <w:lastRenderedPageBreak/>
              <w:t>Reti</w:t>
            </w:r>
          </w:p>
          <w:p w14:paraId="4C5A58B5" w14:textId="77777777" w:rsidR="00BA1E9C" w:rsidRDefault="00B00BA9">
            <w:pPr>
              <w:spacing w:line="240" w:lineRule="auto"/>
            </w:pPr>
            <w:r>
              <w:t>(1 līdz 10 dzīvniekiem/10 000 ārstētajiem dzīvniekiem):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9EA07" w14:textId="77777777" w:rsidR="00BA1E9C" w:rsidRDefault="00B00BA9">
            <w:pPr>
              <w:spacing w:line="240" w:lineRule="auto"/>
            </w:pPr>
            <w:r>
              <w:t>Pastiprinātas jutības reakcijas (anafilakse )</w:t>
            </w:r>
          </w:p>
        </w:tc>
      </w:tr>
      <w:tr w:rsidR="00BA1E9C" w14:paraId="1D25BA62"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0AE42" w14:textId="77777777" w:rsidR="00BA1E9C" w:rsidRDefault="00B00BA9">
            <w:pPr>
              <w:spacing w:line="240" w:lineRule="auto"/>
            </w:pPr>
            <w:r>
              <w:t>Nenoteikts biežums( nevar noteikt pēc pieejamiem datiem):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A0F17" w14:textId="77777777" w:rsidR="00BA1E9C" w:rsidRDefault="00B00BA9">
            <w:pPr>
              <w:spacing w:line="240" w:lineRule="auto"/>
              <w:rPr>
                <w:iCs/>
                <w:szCs w:val="22"/>
              </w:rPr>
            </w:pPr>
            <w:r>
              <w:rPr>
                <w:iCs/>
                <w:szCs w:val="22"/>
              </w:rPr>
              <w:t xml:space="preserve">Fotosensibilizācija </w:t>
            </w:r>
          </w:p>
          <w:p w14:paraId="5B31BB99" w14:textId="77777777" w:rsidR="00BA1E9C" w:rsidRDefault="00B00BA9">
            <w:pPr>
              <w:spacing w:line="240" w:lineRule="auto"/>
            </w:pPr>
            <w:r>
              <w:rPr>
                <w:szCs w:val="22"/>
              </w:rPr>
              <w:t>Zobu krāsas maiņa **</w:t>
            </w:r>
            <w:r>
              <w:rPr>
                <w:iCs/>
                <w:szCs w:val="22"/>
              </w:rPr>
              <w:t xml:space="preserve"> </w:t>
            </w:r>
          </w:p>
          <w:p w14:paraId="1DF6B90C" w14:textId="77777777" w:rsidR="00BA1E9C" w:rsidRDefault="00B00BA9">
            <w:pPr>
              <w:spacing w:line="240" w:lineRule="auto"/>
            </w:pPr>
            <w:r>
              <w:rPr>
                <w:iCs/>
                <w:szCs w:val="22"/>
              </w:rPr>
              <w:t>Nekroze injekcijas vietā</w:t>
            </w:r>
            <w:r>
              <w:rPr>
                <w:szCs w:val="22"/>
              </w:rPr>
              <w:t>*</w:t>
            </w:r>
          </w:p>
        </w:tc>
      </w:tr>
    </w:tbl>
    <w:p w14:paraId="4B6BFDD8" w14:textId="77777777" w:rsidR="00BA1E9C" w:rsidRDefault="00BA1E9C">
      <w:pPr>
        <w:tabs>
          <w:tab w:val="clear" w:pos="567"/>
        </w:tabs>
        <w:spacing w:line="240" w:lineRule="auto"/>
        <w:rPr>
          <w:szCs w:val="22"/>
        </w:rPr>
      </w:pPr>
    </w:p>
    <w:p w14:paraId="08F622CF" w14:textId="77777777" w:rsidR="00BA1E9C" w:rsidRDefault="00B00BA9">
      <w:pPr>
        <w:tabs>
          <w:tab w:val="clear" w:pos="567"/>
        </w:tabs>
        <w:spacing w:line="240" w:lineRule="auto"/>
        <w:rPr>
          <w:szCs w:val="22"/>
        </w:rPr>
      </w:pPr>
      <w:r>
        <w:rPr>
          <w:szCs w:val="22"/>
        </w:rPr>
        <w:t>*Lai samazinātu šādu blakusparādību biežumu, katrā injekcijas vietā ievadīt ne vairāk kā 5 ml.</w:t>
      </w:r>
    </w:p>
    <w:p w14:paraId="65A222C8" w14:textId="77777777" w:rsidR="00BA1E9C" w:rsidRDefault="00B00BA9">
      <w:pPr>
        <w:tabs>
          <w:tab w:val="clear" w:pos="567"/>
        </w:tabs>
        <w:spacing w:line="240" w:lineRule="auto"/>
        <w:rPr>
          <w:szCs w:val="22"/>
        </w:rPr>
      </w:pPr>
      <w:r>
        <w:rPr>
          <w:szCs w:val="22"/>
        </w:rPr>
        <w:t>** Lietojot zobu attīstības periodā, tostarp grūsnības beigu posmā, tāpat kā visiem tetraciklīniem tika novērotas sistēmiskas blakusparādības, piemēram kuņģa-zarnu trakta darbības traucējumi.</w:t>
      </w:r>
    </w:p>
    <w:p w14:paraId="181D4CB8" w14:textId="77777777" w:rsidR="00BA1E9C" w:rsidRDefault="00BA1E9C">
      <w:pPr>
        <w:tabs>
          <w:tab w:val="clear" w:pos="567"/>
        </w:tabs>
        <w:spacing w:line="240" w:lineRule="auto"/>
        <w:rPr>
          <w:szCs w:val="22"/>
        </w:rPr>
      </w:pPr>
    </w:p>
    <w:p w14:paraId="3714DE33" w14:textId="77777777" w:rsidR="00BA1E9C" w:rsidRDefault="00B00BA9">
      <w:pPr>
        <w:tabs>
          <w:tab w:val="clear" w:pos="567"/>
        </w:tabs>
        <w:spacing w:line="240" w:lineRule="auto"/>
        <w:rPr>
          <w:szCs w:val="22"/>
        </w:rPr>
      </w:pPr>
      <w:r>
        <w:rPr>
          <w:szCs w:val="22"/>
        </w:rPr>
        <w:t>Cūkas</w:t>
      </w:r>
    </w:p>
    <w:p w14:paraId="369D1C93" w14:textId="77777777" w:rsidR="00BA1E9C" w:rsidRDefault="00BA1E9C">
      <w:pPr>
        <w:tabs>
          <w:tab w:val="clear" w:pos="567"/>
        </w:tabs>
        <w:spacing w:line="240" w:lineRule="auto"/>
        <w:rPr>
          <w:szCs w:val="22"/>
        </w:rPr>
      </w:pPr>
    </w:p>
    <w:tbl>
      <w:tblPr>
        <w:tblW w:w="5000" w:type="pct"/>
        <w:tblCellMar>
          <w:left w:w="10" w:type="dxa"/>
          <w:right w:w="10" w:type="dxa"/>
        </w:tblCellMar>
        <w:tblLook w:val="0000" w:firstRow="0" w:lastRow="0" w:firstColumn="0" w:lastColumn="0" w:noHBand="0" w:noVBand="0"/>
      </w:tblPr>
      <w:tblGrid>
        <w:gridCol w:w="4675"/>
        <w:gridCol w:w="4675"/>
      </w:tblGrid>
      <w:tr w:rsidR="00BA1E9C" w14:paraId="49A95310"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E0945" w14:textId="77777777" w:rsidR="00BA1E9C" w:rsidRDefault="00B00BA9">
            <w:pPr>
              <w:spacing w:line="240" w:lineRule="auto"/>
            </w:pPr>
            <w:r>
              <w:t>Bieži</w:t>
            </w:r>
          </w:p>
          <w:p w14:paraId="66967C0C" w14:textId="77777777" w:rsidR="00BA1E9C" w:rsidRDefault="00B00BA9">
            <w:pPr>
              <w:spacing w:line="240" w:lineRule="auto"/>
            </w:pPr>
            <w:r>
              <w:t>(1 līdz 10 dzīvniekiem/100 ārstētajiem dzīvniekiem):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1CC59" w14:textId="77777777" w:rsidR="00BA1E9C" w:rsidRDefault="00B00BA9">
            <w:pPr>
              <w:spacing w:line="240" w:lineRule="auto"/>
            </w:pPr>
            <w:r>
              <w:t>Pietūkums injekcijas vietā *; sāpes injekcijas vietā*</w:t>
            </w:r>
          </w:p>
        </w:tc>
      </w:tr>
      <w:tr w:rsidR="00BA1E9C" w14:paraId="7E817882"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479C1" w14:textId="77777777" w:rsidR="00BA1E9C" w:rsidRDefault="00B00BA9">
            <w:pPr>
              <w:spacing w:line="240" w:lineRule="auto"/>
            </w:pPr>
            <w:r>
              <w:t>Reti</w:t>
            </w:r>
          </w:p>
          <w:p w14:paraId="7B1FE55C" w14:textId="77777777" w:rsidR="00BA1E9C" w:rsidRDefault="00B00BA9">
            <w:pPr>
              <w:spacing w:line="240" w:lineRule="auto"/>
            </w:pPr>
            <w:r>
              <w:t>(1 līdz 10 dzīvniekiem/10 000 ārstētajiem dzīvniekiem):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EEB31" w14:textId="77777777" w:rsidR="00BA1E9C" w:rsidRDefault="00B00BA9">
            <w:pPr>
              <w:spacing w:line="240" w:lineRule="auto"/>
            </w:pPr>
            <w:r>
              <w:t>Pastiprinātas jutības reakcijas (anafilakse )</w:t>
            </w:r>
          </w:p>
        </w:tc>
      </w:tr>
      <w:tr w:rsidR="00BA1E9C" w14:paraId="045F24F6" w14:textId="77777777">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91EE5" w14:textId="77777777" w:rsidR="00BA1E9C" w:rsidRDefault="00B00BA9">
            <w:pPr>
              <w:spacing w:line="240" w:lineRule="auto"/>
            </w:pPr>
            <w:r>
              <w:t>Nenoteikts biežums( nevar noteikt pēc pieejamiem datiem):</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300D9" w14:textId="77777777" w:rsidR="00BA1E9C" w:rsidRDefault="00B00BA9">
            <w:pPr>
              <w:spacing w:line="240" w:lineRule="auto"/>
              <w:rPr>
                <w:iCs/>
                <w:szCs w:val="22"/>
              </w:rPr>
            </w:pPr>
            <w:r>
              <w:rPr>
                <w:iCs/>
                <w:szCs w:val="22"/>
              </w:rPr>
              <w:t xml:space="preserve">Fotosensibilizācija </w:t>
            </w:r>
          </w:p>
          <w:p w14:paraId="48E44D83" w14:textId="77777777" w:rsidR="00BA1E9C" w:rsidRDefault="00B00BA9">
            <w:pPr>
              <w:spacing w:line="240" w:lineRule="auto"/>
            </w:pPr>
            <w:r>
              <w:rPr>
                <w:szCs w:val="22"/>
              </w:rPr>
              <w:t>Zobu krāsas maiņa **</w:t>
            </w:r>
            <w:r>
              <w:rPr>
                <w:iCs/>
                <w:szCs w:val="22"/>
              </w:rPr>
              <w:t xml:space="preserve"> </w:t>
            </w:r>
          </w:p>
          <w:p w14:paraId="797E7BC5" w14:textId="77777777" w:rsidR="00BA1E9C" w:rsidRDefault="00B00BA9">
            <w:pPr>
              <w:spacing w:line="240" w:lineRule="auto"/>
            </w:pPr>
            <w:r>
              <w:rPr>
                <w:iCs/>
                <w:szCs w:val="22"/>
              </w:rPr>
              <w:t>Nekroze injekcijas vietā</w:t>
            </w:r>
            <w:r>
              <w:rPr>
                <w:szCs w:val="22"/>
              </w:rPr>
              <w:t>*</w:t>
            </w:r>
          </w:p>
        </w:tc>
      </w:tr>
    </w:tbl>
    <w:p w14:paraId="5119B686" w14:textId="77777777" w:rsidR="00BA1E9C" w:rsidRDefault="00BA1E9C">
      <w:pPr>
        <w:tabs>
          <w:tab w:val="clear" w:pos="567"/>
        </w:tabs>
        <w:spacing w:line="240" w:lineRule="auto"/>
        <w:rPr>
          <w:szCs w:val="22"/>
        </w:rPr>
      </w:pPr>
    </w:p>
    <w:p w14:paraId="627C259E" w14:textId="77777777" w:rsidR="00BA1E9C" w:rsidRDefault="00B00BA9">
      <w:pPr>
        <w:tabs>
          <w:tab w:val="clear" w:pos="567"/>
        </w:tabs>
        <w:spacing w:line="240" w:lineRule="auto"/>
        <w:rPr>
          <w:szCs w:val="22"/>
        </w:rPr>
      </w:pPr>
      <w:r>
        <w:rPr>
          <w:szCs w:val="22"/>
        </w:rPr>
        <w:t>*Lai samazinātu šādu blakusparādību biežumu, katrā injekcijas vietā ievadīt ne vairāk kā 10 ml.</w:t>
      </w:r>
    </w:p>
    <w:p w14:paraId="4FBC10AA" w14:textId="77777777" w:rsidR="00BA1E9C" w:rsidRDefault="00B00BA9">
      <w:pPr>
        <w:tabs>
          <w:tab w:val="clear" w:pos="567"/>
        </w:tabs>
        <w:spacing w:line="240" w:lineRule="auto"/>
        <w:rPr>
          <w:szCs w:val="22"/>
        </w:rPr>
      </w:pPr>
      <w:r>
        <w:rPr>
          <w:szCs w:val="22"/>
        </w:rPr>
        <w:t>** Lietojot zobu attīstības periodā, tostarp grūsnības beigu posmā, tāpat kā visiem tetraciklīniem tika novērotas sistēmiskas blakusparādības, piemēram kuņģa-zarnu trakta darbības traucējumi.</w:t>
      </w:r>
    </w:p>
    <w:p w14:paraId="7CD823AB" w14:textId="77777777" w:rsidR="00BA1E9C" w:rsidRDefault="00BA1E9C">
      <w:pPr>
        <w:tabs>
          <w:tab w:val="clear" w:pos="567"/>
        </w:tabs>
        <w:spacing w:line="240" w:lineRule="auto"/>
        <w:rPr>
          <w:szCs w:val="22"/>
        </w:rPr>
      </w:pPr>
    </w:p>
    <w:p w14:paraId="0ADD5621" w14:textId="77777777" w:rsidR="00BA1E9C" w:rsidRDefault="00B00BA9">
      <w:pPr>
        <w:spacing w:line="240" w:lineRule="auto"/>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p w14:paraId="683DDEF7" w14:textId="77777777" w:rsidR="00BA1E9C" w:rsidRDefault="00BA1E9C">
      <w:pPr>
        <w:rPr>
          <w:szCs w:val="22"/>
        </w:rPr>
      </w:pPr>
    </w:p>
    <w:p w14:paraId="289FA5AA" w14:textId="77777777" w:rsidR="00BA1E9C" w:rsidRDefault="00BA1E9C">
      <w:pPr>
        <w:tabs>
          <w:tab w:val="clear" w:pos="567"/>
        </w:tabs>
        <w:spacing w:line="240" w:lineRule="auto"/>
        <w:rPr>
          <w:iCs/>
          <w:szCs w:val="22"/>
        </w:rPr>
      </w:pPr>
    </w:p>
    <w:p w14:paraId="0FA32EDF" w14:textId="77777777" w:rsidR="00BA1E9C" w:rsidRDefault="00B00BA9">
      <w:pPr>
        <w:pStyle w:val="Style1"/>
      </w:pPr>
      <w:r>
        <w:rPr>
          <w:shd w:val="clear" w:color="auto" w:fill="D3D3D3"/>
        </w:rPr>
        <w:t>8.</w:t>
      </w:r>
      <w:r>
        <w:tab/>
        <w:t>Deva katrai dzīvnieku sugai, lietošanas veids un metode</w:t>
      </w:r>
    </w:p>
    <w:p w14:paraId="0249D8C3" w14:textId="77777777" w:rsidR="00BA1E9C" w:rsidRDefault="00BA1E9C">
      <w:pPr>
        <w:tabs>
          <w:tab w:val="clear" w:pos="567"/>
        </w:tabs>
        <w:spacing w:line="240" w:lineRule="auto"/>
        <w:rPr>
          <w:szCs w:val="22"/>
        </w:rPr>
      </w:pPr>
    </w:p>
    <w:p w14:paraId="660D69B5" w14:textId="77777777" w:rsidR="00BA1E9C" w:rsidRDefault="00B00BA9">
      <w:pPr>
        <w:tabs>
          <w:tab w:val="clear" w:pos="567"/>
        </w:tabs>
        <w:autoSpaceDE w:val="0"/>
        <w:spacing w:line="240" w:lineRule="auto"/>
        <w:rPr>
          <w:color w:val="000000"/>
          <w:szCs w:val="22"/>
          <w:lang w:eastAsia="en-GB"/>
        </w:rPr>
      </w:pPr>
      <w:r>
        <w:rPr>
          <w:color w:val="000000"/>
          <w:szCs w:val="22"/>
          <w:lang w:eastAsia="en-GB"/>
        </w:rPr>
        <w:t>Dziļām intramuskulārām injekcijām.</w:t>
      </w:r>
    </w:p>
    <w:p w14:paraId="2B9D3FCA" w14:textId="77777777" w:rsidR="00BA1E9C" w:rsidRDefault="00BA1E9C">
      <w:pPr>
        <w:tabs>
          <w:tab w:val="clear" w:pos="567"/>
        </w:tabs>
        <w:autoSpaceDE w:val="0"/>
        <w:spacing w:line="240" w:lineRule="auto"/>
        <w:rPr>
          <w:color w:val="000000"/>
          <w:szCs w:val="22"/>
          <w:lang w:eastAsia="en-GB"/>
        </w:rPr>
      </w:pPr>
    </w:p>
    <w:p w14:paraId="4AA4FC9A" w14:textId="77777777" w:rsidR="00BA1E9C" w:rsidRDefault="00B00BA9">
      <w:pPr>
        <w:tabs>
          <w:tab w:val="clear" w:pos="567"/>
        </w:tabs>
        <w:autoSpaceDE w:val="0"/>
        <w:spacing w:line="240" w:lineRule="auto"/>
      </w:pPr>
      <w:r>
        <w:rPr>
          <w:color w:val="000000"/>
          <w:szCs w:val="22"/>
          <w:lang w:eastAsia="en-GB"/>
        </w:rPr>
        <w:t xml:space="preserve">Liellopiem, aitām, kazām, cūkām: viena injekcija 20 mg oksitetraciklīna/kg ķermeņa svara (t.i., 1 ml </w:t>
      </w:r>
      <w:r>
        <w:rPr>
          <w:i/>
          <w:iCs/>
          <w:color w:val="000000"/>
          <w:szCs w:val="22"/>
          <w:lang w:eastAsia="en-GB"/>
        </w:rPr>
        <w:t>TETRAVET LA</w:t>
      </w:r>
      <w:r>
        <w:rPr>
          <w:color w:val="000000"/>
          <w:szCs w:val="22"/>
          <w:lang w:eastAsia="en-GB"/>
        </w:rPr>
        <w:t xml:space="preserve">/10 kg ķermeņa svara). </w:t>
      </w:r>
    </w:p>
    <w:p w14:paraId="367B8014" w14:textId="77777777" w:rsidR="00BA1E9C" w:rsidRDefault="00B00BA9">
      <w:pPr>
        <w:tabs>
          <w:tab w:val="clear" w:pos="567"/>
        </w:tabs>
        <w:autoSpaceDE w:val="0"/>
        <w:spacing w:line="240" w:lineRule="auto"/>
        <w:rPr>
          <w:color w:val="000000"/>
          <w:szCs w:val="22"/>
          <w:lang w:eastAsia="en-GB"/>
        </w:rPr>
      </w:pPr>
      <w:r>
        <w:rPr>
          <w:color w:val="000000"/>
          <w:szCs w:val="22"/>
          <w:lang w:eastAsia="en-GB"/>
        </w:rPr>
        <w:t>Ja nepieciešams, injekciju atkārtot pēc 3 dienām.</w:t>
      </w:r>
    </w:p>
    <w:p w14:paraId="3AED5AD4" w14:textId="77777777" w:rsidR="00BA1E9C" w:rsidRDefault="00BA1E9C">
      <w:pPr>
        <w:tabs>
          <w:tab w:val="clear" w:pos="567"/>
        </w:tabs>
        <w:autoSpaceDE w:val="0"/>
        <w:spacing w:line="240" w:lineRule="auto"/>
        <w:rPr>
          <w:color w:val="000000"/>
          <w:szCs w:val="22"/>
          <w:lang w:eastAsia="en-GB"/>
        </w:rPr>
      </w:pPr>
    </w:p>
    <w:p w14:paraId="3EC24F82" w14:textId="77777777" w:rsidR="00BA1E9C" w:rsidRDefault="00B00BA9">
      <w:pPr>
        <w:tabs>
          <w:tab w:val="clear" w:pos="567"/>
        </w:tabs>
        <w:autoSpaceDE w:val="0"/>
        <w:spacing w:line="240" w:lineRule="auto"/>
        <w:rPr>
          <w:color w:val="000000"/>
          <w:szCs w:val="22"/>
          <w:lang w:eastAsia="en-GB"/>
        </w:rPr>
      </w:pPr>
      <w:r>
        <w:rPr>
          <w:color w:val="000000"/>
          <w:szCs w:val="22"/>
          <w:lang w:eastAsia="en-GB"/>
        </w:rPr>
        <w:t>Vienā injekcijas vietā ievadīt ne vairāk kā 20 ml liellopiem, 10 ml cūkām, 5 ml aitām un kazām. Veterināro zāļu devu sadalīt un ievadīt dažādās injekciju vietās.</w:t>
      </w:r>
    </w:p>
    <w:p w14:paraId="3F70F58F" w14:textId="77777777" w:rsidR="00BA1E9C" w:rsidRDefault="00BA1E9C">
      <w:pPr>
        <w:tabs>
          <w:tab w:val="clear" w:pos="567"/>
        </w:tabs>
        <w:spacing w:line="240" w:lineRule="auto"/>
        <w:rPr>
          <w:szCs w:val="22"/>
        </w:rPr>
      </w:pPr>
    </w:p>
    <w:p w14:paraId="6B8945CA" w14:textId="77777777" w:rsidR="00BA1E9C" w:rsidRDefault="00BA1E9C">
      <w:pPr>
        <w:pStyle w:val="Style1"/>
        <w:rPr>
          <w:shd w:val="clear" w:color="auto" w:fill="D3D3D3"/>
        </w:rPr>
      </w:pPr>
    </w:p>
    <w:p w14:paraId="0C47443B" w14:textId="77777777" w:rsidR="00BA1E9C" w:rsidRDefault="00B00BA9">
      <w:pPr>
        <w:pStyle w:val="Style1"/>
      </w:pPr>
      <w:r>
        <w:rPr>
          <w:shd w:val="clear" w:color="auto" w:fill="D3D3D3"/>
        </w:rPr>
        <w:t>9.</w:t>
      </w:r>
      <w:r>
        <w:tab/>
        <w:t>Ieteikumi pareizai lietošanai</w:t>
      </w:r>
    </w:p>
    <w:p w14:paraId="25114A00" w14:textId="77777777" w:rsidR="00BA1E9C" w:rsidRDefault="00BA1E9C">
      <w:pPr>
        <w:tabs>
          <w:tab w:val="clear" w:pos="567"/>
        </w:tabs>
        <w:spacing w:line="240" w:lineRule="auto"/>
        <w:rPr>
          <w:szCs w:val="22"/>
        </w:rPr>
      </w:pPr>
    </w:p>
    <w:p w14:paraId="2350AF2E" w14:textId="77777777" w:rsidR="00BA1E9C" w:rsidRDefault="00B00BA9">
      <w:pPr>
        <w:tabs>
          <w:tab w:val="clear" w:pos="567"/>
        </w:tabs>
        <w:autoSpaceDE w:val="0"/>
        <w:spacing w:line="240" w:lineRule="auto"/>
        <w:rPr>
          <w:color w:val="000000"/>
          <w:szCs w:val="22"/>
          <w:lang w:eastAsia="en-GB"/>
        </w:rPr>
      </w:pPr>
      <w:r>
        <w:rPr>
          <w:color w:val="000000"/>
          <w:szCs w:val="22"/>
          <w:lang w:eastAsia="en-GB"/>
        </w:rPr>
        <w:t>Pirms lietošanas saskalināt.</w:t>
      </w:r>
    </w:p>
    <w:p w14:paraId="695D2EA2" w14:textId="77777777" w:rsidR="00BA1E9C" w:rsidRDefault="00BA1E9C">
      <w:pPr>
        <w:tabs>
          <w:tab w:val="clear" w:pos="567"/>
        </w:tabs>
        <w:spacing w:line="240" w:lineRule="auto"/>
        <w:rPr>
          <w:szCs w:val="22"/>
        </w:rPr>
      </w:pPr>
    </w:p>
    <w:p w14:paraId="36D2DC29" w14:textId="77777777" w:rsidR="00BA1E9C" w:rsidRDefault="00B00BA9">
      <w:pPr>
        <w:tabs>
          <w:tab w:val="clear" w:pos="567"/>
        </w:tabs>
        <w:spacing w:line="240" w:lineRule="auto"/>
        <w:rPr>
          <w:szCs w:val="22"/>
        </w:rPr>
      </w:pPr>
      <w:r>
        <w:rPr>
          <w:szCs w:val="22"/>
        </w:rPr>
        <w:lastRenderedPageBreak/>
        <w:t>Iepakojumu caurdurt ne vairāk kā 20 reizes. Ja nepieciešams lielāks caurduršanas reižu skaits, izmantot daudzdevu šļirci.</w:t>
      </w:r>
    </w:p>
    <w:p w14:paraId="5254EC88" w14:textId="77777777" w:rsidR="00BA1E9C" w:rsidRDefault="00BA1E9C">
      <w:pPr>
        <w:tabs>
          <w:tab w:val="clear" w:pos="567"/>
        </w:tabs>
        <w:spacing w:line="240" w:lineRule="auto"/>
        <w:rPr>
          <w:iCs/>
          <w:szCs w:val="22"/>
        </w:rPr>
      </w:pPr>
    </w:p>
    <w:p w14:paraId="1F02FCDE" w14:textId="77777777" w:rsidR="00BA1E9C" w:rsidRDefault="00BA1E9C">
      <w:pPr>
        <w:tabs>
          <w:tab w:val="clear" w:pos="567"/>
        </w:tabs>
        <w:spacing w:line="240" w:lineRule="auto"/>
        <w:rPr>
          <w:iCs/>
          <w:szCs w:val="22"/>
        </w:rPr>
      </w:pPr>
    </w:p>
    <w:p w14:paraId="50AB93DC" w14:textId="77777777" w:rsidR="00BA1E9C" w:rsidRDefault="00B00BA9">
      <w:pPr>
        <w:pStyle w:val="Style1"/>
      </w:pPr>
      <w:r>
        <w:rPr>
          <w:shd w:val="clear" w:color="auto" w:fill="D3D3D3"/>
        </w:rPr>
        <w:t>10.</w:t>
      </w:r>
      <w:r>
        <w:tab/>
        <w:t>Ierobežojumu periods</w:t>
      </w:r>
    </w:p>
    <w:p w14:paraId="61543623" w14:textId="77777777" w:rsidR="00BA1E9C" w:rsidRDefault="00BA1E9C">
      <w:pPr>
        <w:tabs>
          <w:tab w:val="clear" w:pos="567"/>
        </w:tabs>
        <w:spacing w:line="240" w:lineRule="auto"/>
        <w:rPr>
          <w:iCs/>
          <w:szCs w:val="22"/>
        </w:rPr>
      </w:pPr>
    </w:p>
    <w:p w14:paraId="76ADC709" w14:textId="77777777" w:rsidR="00BA1E9C" w:rsidRDefault="00B00BA9">
      <w:pPr>
        <w:tabs>
          <w:tab w:val="clear" w:pos="567"/>
        </w:tabs>
        <w:autoSpaceDE w:val="0"/>
        <w:spacing w:line="240" w:lineRule="auto"/>
        <w:rPr>
          <w:color w:val="000000"/>
          <w:szCs w:val="22"/>
          <w:lang w:eastAsia="en-GB"/>
        </w:rPr>
      </w:pPr>
      <w:r>
        <w:rPr>
          <w:color w:val="000000"/>
          <w:szCs w:val="22"/>
          <w:lang w:eastAsia="en-GB"/>
        </w:rPr>
        <w:t>Liellopiem, aitām, kazām un cūkām:</w:t>
      </w:r>
    </w:p>
    <w:p w14:paraId="03B99ACF" w14:textId="77777777" w:rsidR="00BA1E9C" w:rsidRDefault="00B00BA9">
      <w:pPr>
        <w:tabs>
          <w:tab w:val="clear" w:pos="567"/>
        </w:tabs>
        <w:autoSpaceDE w:val="0"/>
        <w:spacing w:line="240" w:lineRule="auto"/>
        <w:rPr>
          <w:color w:val="000000"/>
          <w:szCs w:val="22"/>
          <w:lang w:eastAsia="en-GB"/>
        </w:rPr>
      </w:pPr>
      <w:r>
        <w:rPr>
          <w:color w:val="000000"/>
          <w:szCs w:val="22"/>
          <w:lang w:eastAsia="en-GB"/>
        </w:rPr>
        <w:t>Gaļai un blakusproduktiem: 21 diena.</w:t>
      </w:r>
    </w:p>
    <w:p w14:paraId="0274B877" w14:textId="77777777" w:rsidR="00BA1E9C" w:rsidRDefault="00BA1E9C">
      <w:pPr>
        <w:tabs>
          <w:tab w:val="clear" w:pos="567"/>
        </w:tabs>
        <w:autoSpaceDE w:val="0"/>
        <w:spacing w:line="240" w:lineRule="auto"/>
        <w:rPr>
          <w:color w:val="000000"/>
          <w:szCs w:val="22"/>
          <w:lang w:eastAsia="en-GB"/>
        </w:rPr>
      </w:pPr>
    </w:p>
    <w:p w14:paraId="52D568B9" w14:textId="77777777" w:rsidR="00BA1E9C" w:rsidRDefault="00B00BA9">
      <w:pPr>
        <w:tabs>
          <w:tab w:val="clear" w:pos="567"/>
        </w:tabs>
        <w:autoSpaceDE w:val="0"/>
        <w:spacing w:line="240" w:lineRule="auto"/>
        <w:rPr>
          <w:color w:val="000000"/>
          <w:szCs w:val="22"/>
          <w:lang w:eastAsia="en-GB"/>
        </w:rPr>
      </w:pPr>
      <w:r>
        <w:rPr>
          <w:color w:val="000000"/>
          <w:szCs w:val="22"/>
          <w:lang w:eastAsia="en-GB"/>
        </w:rPr>
        <w:t xml:space="preserve">Liellopiem: </w:t>
      </w:r>
    </w:p>
    <w:p w14:paraId="601F6397" w14:textId="77777777" w:rsidR="00BA1E9C" w:rsidRDefault="00B00BA9">
      <w:pPr>
        <w:tabs>
          <w:tab w:val="clear" w:pos="567"/>
        </w:tabs>
        <w:autoSpaceDE w:val="0"/>
        <w:spacing w:line="240" w:lineRule="auto"/>
        <w:rPr>
          <w:color w:val="000000"/>
          <w:szCs w:val="22"/>
          <w:lang w:eastAsia="en-GB"/>
        </w:rPr>
      </w:pPr>
      <w:r>
        <w:rPr>
          <w:color w:val="000000"/>
          <w:szCs w:val="22"/>
          <w:lang w:eastAsia="en-GB"/>
        </w:rPr>
        <w:t>Pienam: 14 slaukšanas reizes (7 dienas).</w:t>
      </w:r>
    </w:p>
    <w:p w14:paraId="2F3C754B" w14:textId="77777777" w:rsidR="00BA1E9C" w:rsidRDefault="00BA1E9C">
      <w:pPr>
        <w:tabs>
          <w:tab w:val="clear" w:pos="567"/>
        </w:tabs>
        <w:spacing w:line="240" w:lineRule="auto"/>
        <w:rPr>
          <w:color w:val="000000"/>
          <w:szCs w:val="22"/>
          <w:lang w:eastAsia="en-GB"/>
        </w:rPr>
      </w:pPr>
    </w:p>
    <w:p w14:paraId="3D6C8521" w14:textId="77777777" w:rsidR="00BA1E9C" w:rsidRDefault="00B00BA9">
      <w:pPr>
        <w:tabs>
          <w:tab w:val="clear" w:pos="567"/>
        </w:tabs>
        <w:spacing w:line="240" w:lineRule="auto"/>
        <w:rPr>
          <w:color w:val="000000"/>
          <w:szCs w:val="22"/>
          <w:lang w:eastAsia="en-GB"/>
        </w:rPr>
      </w:pPr>
      <w:r>
        <w:rPr>
          <w:color w:val="000000"/>
          <w:szCs w:val="22"/>
          <w:lang w:eastAsia="en-GB"/>
        </w:rPr>
        <w:t>Nelietot aitām un kazām, kuru pienu paredzēts izmantot cilvēku uzturā.</w:t>
      </w:r>
    </w:p>
    <w:p w14:paraId="073C1663" w14:textId="77777777" w:rsidR="00BA1E9C" w:rsidRDefault="00BA1E9C">
      <w:pPr>
        <w:tabs>
          <w:tab w:val="clear" w:pos="567"/>
        </w:tabs>
        <w:spacing w:line="240" w:lineRule="auto"/>
        <w:rPr>
          <w:iCs/>
          <w:szCs w:val="22"/>
        </w:rPr>
      </w:pPr>
    </w:p>
    <w:p w14:paraId="27338DD0" w14:textId="77777777" w:rsidR="00BA1E9C" w:rsidRDefault="00BA1E9C">
      <w:pPr>
        <w:tabs>
          <w:tab w:val="clear" w:pos="567"/>
        </w:tabs>
        <w:spacing w:line="240" w:lineRule="auto"/>
        <w:rPr>
          <w:iCs/>
          <w:szCs w:val="22"/>
        </w:rPr>
      </w:pPr>
    </w:p>
    <w:p w14:paraId="7FD420BA" w14:textId="77777777" w:rsidR="00BA1E9C" w:rsidRDefault="00B00BA9">
      <w:pPr>
        <w:pStyle w:val="Style1"/>
      </w:pPr>
      <w:r>
        <w:rPr>
          <w:shd w:val="clear" w:color="auto" w:fill="D3D3D3"/>
        </w:rPr>
        <w:t>11.</w:t>
      </w:r>
      <w:r>
        <w:tab/>
        <w:t>Īpaši uzglabāšanas nosacījumi</w:t>
      </w:r>
    </w:p>
    <w:p w14:paraId="07F87A4E" w14:textId="77777777" w:rsidR="00BA1E9C" w:rsidRDefault="00BA1E9C">
      <w:pPr>
        <w:tabs>
          <w:tab w:val="clear" w:pos="567"/>
        </w:tabs>
        <w:spacing w:line="240" w:lineRule="auto"/>
        <w:rPr>
          <w:szCs w:val="22"/>
        </w:rPr>
      </w:pPr>
    </w:p>
    <w:p w14:paraId="6278CA31" w14:textId="77777777" w:rsidR="00BA1E9C" w:rsidRDefault="00B00BA9">
      <w:pPr>
        <w:tabs>
          <w:tab w:val="clear" w:pos="567"/>
        </w:tabs>
        <w:autoSpaceDE w:val="0"/>
        <w:spacing w:line="240" w:lineRule="auto"/>
        <w:rPr>
          <w:color w:val="000000"/>
          <w:szCs w:val="22"/>
          <w:lang w:eastAsia="en-GB"/>
        </w:rPr>
      </w:pPr>
      <w:r>
        <w:rPr>
          <w:color w:val="000000"/>
          <w:szCs w:val="22"/>
          <w:lang w:eastAsia="en-GB"/>
        </w:rPr>
        <w:t>Šīm veterinārajām zālēm nav nepieciešami īpaši uzglabāšanas apstākļi.</w:t>
      </w:r>
    </w:p>
    <w:p w14:paraId="4EF19B0F" w14:textId="77777777" w:rsidR="00BA1E9C" w:rsidRDefault="00B00BA9">
      <w:pPr>
        <w:tabs>
          <w:tab w:val="clear" w:pos="567"/>
        </w:tabs>
        <w:autoSpaceDE w:val="0"/>
        <w:spacing w:line="240" w:lineRule="auto"/>
        <w:rPr>
          <w:color w:val="000000"/>
          <w:szCs w:val="22"/>
          <w:lang w:eastAsia="en-GB"/>
        </w:rPr>
      </w:pPr>
      <w:r>
        <w:rPr>
          <w:color w:val="000000"/>
          <w:szCs w:val="22"/>
          <w:lang w:eastAsia="en-GB"/>
        </w:rPr>
        <w:t>Uzglabāt bērniem neredzamā un nepieejamā vietā.</w:t>
      </w:r>
    </w:p>
    <w:p w14:paraId="25D65F73" w14:textId="77777777" w:rsidR="00BA1E9C" w:rsidRDefault="00B00BA9">
      <w:pPr>
        <w:tabs>
          <w:tab w:val="clear" w:pos="567"/>
        </w:tabs>
        <w:autoSpaceDE w:val="0"/>
        <w:spacing w:line="240" w:lineRule="auto"/>
        <w:rPr>
          <w:color w:val="000000"/>
          <w:szCs w:val="22"/>
          <w:lang w:eastAsia="en-GB"/>
        </w:rPr>
      </w:pPr>
      <w:r>
        <w:rPr>
          <w:color w:val="000000"/>
          <w:szCs w:val="22"/>
          <w:lang w:eastAsia="en-GB"/>
        </w:rPr>
        <w:t>Nelietot šīs veterinārās zāles, ja beidzies derīguma termiņš, kas norādīts uz kastītes vai uz flakona pēc EXP.</w:t>
      </w:r>
    </w:p>
    <w:p w14:paraId="2C187FD1" w14:textId="77777777" w:rsidR="00BA1E9C" w:rsidRDefault="00B00BA9">
      <w:pPr>
        <w:tabs>
          <w:tab w:val="clear" w:pos="567"/>
        </w:tabs>
        <w:spacing w:line="240" w:lineRule="auto"/>
        <w:rPr>
          <w:color w:val="000000"/>
          <w:szCs w:val="22"/>
          <w:lang w:eastAsia="en-GB"/>
        </w:rPr>
      </w:pPr>
      <w:r>
        <w:rPr>
          <w:color w:val="000000"/>
          <w:szCs w:val="22"/>
          <w:lang w:eastAsia="en-GB"/>
        </w:rPr>
        <w:t>Derīguma termiņš pēc pirmreizējas tiešā iepakojuma atvēršanas: 28 dienas.</w:t>
      </w:r>
    </w:p>
    <w:p w14:paraId="42EC41E1" w14:textId="77777777" w:rsidR="00BA1E9C" w:rsidRDefault="00BA1E9C">
      <w:pPr>
        <w:tabs>
          <w:tab w:val="clear" w:pos="567"/>
        </w:tabs>
        <w:spacing w:line="240" w:lineRule="auto"/>
        <w:rPr>
          <w:szCs w:val="22"/>
        </w:rPr>
      </w:pPr>
    </w:p>
    <w:p w14:paraId="7CA81D1E" w14:textId="77777777" w:rsidR="00BA1E9C" w:rsidRDefault="00BA1E9C">
      <w:pPr>
        <w:tabs>
          <w:tab w:val="clear" w:pos="567"/>
        </w:tabs>
        <w:spacing w:line="240" w:lineRule="auto"/>
        <w:rPr>
          <w:szCs w:val="22"/>
        </w:rPr>
      </w:pPr>
    </w:p>
    <w:p w14:paraId="5871F392" w14:textId="77777777" w:rsidR="00BA1E9C" w:rsidRDefault="00B00BA9">
      <w:pPr>
        <w:pStyle w:val="Style1"/>
      </w:pPr>
      <w:r>
        <w:rPr>
          <w:shd w:val="clear" w:color="auto" w:fill="D3D3D3"/>
        </w:rPr>
        <w:t>12.</w:t>
      </w:r>
      <w:r>
        <w:tab/>
        <w:t>Īpaši norādījumi atkritumu iznīcināšanai</w:t>
      </w:r>
    </w:p>
    <w:p w14:paraId="269A02A1" w14:textId="77777777" w:rsidR="00BA1E9C" w:rsidRDefault="00BA1E9C">
      <w:pPr>
        <w:tabs>
          <w:tab w:val="clear" w:pos="567"/>
        </w:tabs>
        <w:spacing w:line="240" w:lineRule="auto"/>
        <w:rPr>
          <w:szCs w:val="22"/>
        </w:rPr>
      </w:pPr>
    </w:p>
    <w:p w14:paraId="7D63A51D" w14:textId="77777777" w:rsidR="00BA1E9C" w:rsidRDefault="00B00BA9">
      <w:pPr>
        <w:tabs>
          <w:tab w:val="clear" w:pos="567"/>
        </w:tabs>
        <w:spacing w:line="240" w:lineRule="auto"/>
      </w:pPr>
      <w:r>
        <w:t>Neizmest veterinārās zāles kanalizācijā vai kopā ar sadzīves atkritumiem.</w:t>
      </w:r>
    </w:p>
    <w:p w14:paraId="72C24670" w14:textId="77777777" w:rsidR="00BA1E9C" w:rsidRDefault="00B00BA9">
      <w:pPr>
        <w:tabs>
          <w:tab w:val="clear" w:pos="567"/>
        </w:tabs>
        <w:spacing w:line="240" w:lineRule="auto"/>
        <w:rPr>
          <w:szCs w:val="22"/>
        </w:rPr>
      </w:pPr>
      <w:r>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152F19" w14:textId="77777777" w:rsidR="00BA1E9C" w:rsidRDefault="00BA1E9C">
      <w:pPr>
        <w:tabs>
          <w:tab w:val="clear" w:pos="567"/>
        </w:tabs>
        <w:spacing w:line="240" w:lineRule="auto"/>
      </w:pPr>
    </w:p>
    <w:p w14:paraId="21BCA807" w14:textId="77777777" w:rsidR="00BA1E9C" w:rsidRDefault="00BA1E9C">
      <w:pPr>
        <w:tabs>
          <w:tab w:val="clear" w:pos="567"/>
        </w:tabs>
        <w:spacing w:line="240" w:lineRule="auto"/>
        <w:rPr>
          <w:bCs/>
          <w:szCs w:val="22"/>
          <w:shd w:val="clear" w:color="auto" w:fill="D3D3D3"/>
        </w:rPr>
      </w:pPr>
    </w:p>
    <w:p w14:paraId="5D86D521" w14:textId="77777777" w:rsidR="00BA1E9C" w:rsidRDefault="00B00BA9">
      <w:pPr>
        <w:pStyle w:val="Style1"/>
      </w:pPr>
      <w:r>
        <w:rPr>
          <w:shd w:val="clear" w:color="auto" w:fill="D3D3D3"/>
        </w:rPr>
        <w:t>13.</w:t>
      </w:r>
      <w:r>
        <w:tab/>
        <w:t>Veterināro zāļu klasifikācija</w:t>
      </w:r>
    </w:p>
    <w:p w14:paraId="18AB42DC" w14:textId="77777777" w:rsidR="00BA1E9C" w:rsidRDefault="00BA1E9C">
      <w:pPr>
        <w:tabs>
          <w:tab w:val="clear" w:pos="567"/>
        </w:tabs>
        <w:spacing w:line="240" w:lineRule="auto"/>
        <w:rPr>
          <w:szCs w:val="22"/>
        </w:rPr>
      </w:pPr>
    </w:p>
    <w:p w14:paraId="7D30ACAA" w14:textId="77777777" w:rsidR="00BA1E9C" w:rsidRDefault="00B00BA9">
      <w:pPr>
        <w:tabs>
          <w:tab w:val="clear" w:pos="567"/>
        </w:tabs>
        <w:spacing w:line="240" w:lineRule="auto"/>
        <w:rPr>
          <w:szCs w:val="22"/>
        </w:rPr>
      </w:pPr>
      <w:r>
        <w:rPr>
          <w:szCs w:val="22"/>
        </w:rPr>
        <w:t>Recepšu veterinārās zāles</w:t>
      </w:r>
    </w:p>
    <w:p w14:paraId="4F5CDF2E" w14:textId="77777777" w:rsidR="00BA1E9C" w:rsidRDefault="00BA1E9C">
      <w:pPr>
        <w:tabs>
          <w:tab w:val="clear" w:pos="567"/>
        </w:tabs>
        <w:spacing w:line="240" w:lineRule="auto"/>
        <w:rPr>
          <w:szCs w:val="22"/>
        </w:rPr>
      </w:pPr>
    </w:p>
    <w:p w14:paraId="38EAD76E" w14:textId="77777777" w:rsidR="00BA1E9C" w:rsidRDefault="00BA1E9C">
      <w:pPr>
        <w:tabs>
          <w:tab w:val="clear" w:pos="567"/>
        </w:tabs>
        <w:spacing w:line="240" w:lineRule="auto"/>
        <w:rPr>
          <w:szCs w:val="22"/>
        </w:rPr>
      </w:pPr>
    </w:p>
    <w:p w14:paraId="24576A22" w14:textId="77777777" w:rsidR="00BA1E9C" w:rsidRDefault="00B00BA9">
      <w:pPr>
        <w:pStyle w:val="Style1"/>
      </w:pPr>
      <w:r>
        <w:rPr>
          <w:shd w:val="clear" w:color="auto" w:fill="D3D3D3"/>
        </w:rPr>
        <w:t>14.</w:t>
      </w:r>
      <w:r>
        <w:tab/>
        <w:t>Tirdzniecības atļaujas numuri un iepakojuma lielumi</w:t>
      </w:r>
    </w:p>
    <w:p w14:paraId="488F65A8" w14:textId="77777777" w:rsidR="00BA1E9C" w:rsidRDefault="00BA1E9C">
      <w:pPr>
        <w:tabs>
          <w:tab w:val="clear" w:pos="567"/>
        </w:tabs>
        <w:spacing w:line="240" w:lineRule="auto"/>
        <w:rPr>
          <w:szCs w:val="22"/>
        </w:rPr>
      </w:pPr>
    </w:p>
    <w:p w14:paraId="403BA690" w14:textId="77777777" w:rsidR="00BA1E9C" w:rsidRDefault="00B00BA9">
      <w:pPr>
        <w:tabs>
          <w:tab w:val="clear" w:pos="567"/>
        </w:tabs>
        <w:autoSpaceDE w:val="0"/>
        <w:spacing w:line="240" w:lineRule="auto"/>
        <w:rPr>
          <w:color w:val="000000"/>
          <w:szCs w:val="22"/>
          <w:lang w:eastAsia="en-GB"/>
        </w:rPr>
      </w:pPr>
      <w:r>
        <w:rPr>
          <w:color w:val="000000"/>
          <w:szCs w:val="22"/>
          <w:lang w:eastAsia="en-GB"/>
        </w:rPr>
        <w:t>Iepakojuma lielumi: 100 ml</w:t>
      </w:r>
      <w:r w:rsidR="00223B03">
        <w:rPr>
          <w:color w:val="000000"/>
          <w:szCs w:val="22"/>
          <w:lang w:eastAsia="en-GB"/>
        </w:rPr>
        <w:t xml:space="preserve"> un</w:t>
      </w:r>
      <w:r>
        <w:rPr>
          <w:color w:val="000000"/>
          <w:szCs w:val="22"/>
          <w:lang w:eastAsia="en-GB"/>
        </w:rPr>
        <w:t xml:space="preserve"> 250 ml flakons.</w:t>
      </w:r>
    </w:p>
    <w:p w14:paraId="4B71B58F" w14:textId="77777777" w:rsidR="00BA1E9C" w:rsidRDefault="00B00BA9">
      <w:pPr>
        <w:tabs>
          <w:tab w:val="clear" w:pos="567"/>
        </w:tabs>
        <w:spacing w:line="240" w:lineRule="auto"/>
      </w:pPr>
      <w:r>
        <w:rPr>
          <w:color w:val="000000"/>
          <w:szCs w:val="22"/>
          <w:lang w:eastAsia="en-GB"/>
        </w:rPr>
        <w:t>Ārējais iepakojums: kartona kastīte.</w:t>
      </w:r>
    </w:p>
    <w:p w14:paraId="644F0138" w14:textId="77777777" w:rsidR="00BA1E9C" w:rsidRDefault="00B00BA9">
      <w:pPr>
        <w:tabs>
          <w:tab w:val="clear" w:pos="567"/>
        </w:tabs>
        <w:spacing w:line="240" w:lineRule="auto"/>
      </w:pPr>
      <w:r>
        <w:t>Ne visi iepakojuma lielumi var tikt izplatīti.</w:t>
      </w:r>
    </w:p>
    <w:p w14:paraId="45EEAC1E" w14:textId="77777777" w:rsidR="00BA1E9C" w:rsidRDefault="00BA1E9C">
      <w:pPr>
        <w:tabs>
          <w:tab w:val="clear" w:pos="567"/>
        </w:tabs>
        <w:spacing w:line="240" w:lineRule="auto"/>
        <w:rPr>
          <w:szCs w:val="22"/>
        </w:rPr>
      </w:pPr>
    </w:p>
    <w:p w14:paraId="704DCE84" w14:textId="77777777" w:rsidR="00BA1E9C" w:rsidRDefault="00BA1E9C">
      <w:pPr>
        <w:tabs>
          <w:tab w:val="clear" w:pos="567"/>
        </w:tabs>
        <w:spacing w:line="240" w:lineRule="auto"/>
        <w:rPr>
          <w:szCs w:val="22"/>
        </w:rPr>
      </w:pPr>
    </w:p>
    <w:p w14:paraId="73F89310" w14:textId="77777777" w:rsidR="00BA1E9C" w:rsidRDefault="00B00BA9">
      <w:pPr>
        <w:pStyle w:val="Style1"/>
      </w:pPr>
      <w:r>
        <w:rPr>
          <w:shd w:val="clear" w:color="auto" w:fill="D3D3D3"/>
        </w:rPr>
        <w:t>15.</w:t>
      </w:r>
      <w:r>
        <w:tab/>
        <w:t>Datums, kad lietošanas instrukcija pēdējo reizi pārskatīta</w:t>
      </w:r>
    </w:p>
    <w:p w14:paraId="222EC96C" w14:textId="77777777" w:rsidR="00BA1E9C" w:rsidRDefault="00BA1E9C">
      <w:pPr>
        <w:tabs>
          <w:tab w:val="clear" w:pos="567"/>
        </w:tabs>
        <w:spacing w:line="240" w:lineRule="auto"/>
        <w:rPr>
          <w:szCs w:val="22"/>
        </w:rPr>
      </w:pPr>
    </w:p>
    <w:p w14:paraId="77F1EA68" w14:textId="5B9ADACC" w:rsidR="00BA1E9C" w:rsidRDefault="00006FD3">
      <w:pPr>
        <w:tabs>
          <w:tab w:val="clear" w:pos="567"/>
        </w:tabs>
        <w:spacing w:line="240" w:lineRule="auto"/>
        <w:rPr>
          <w:szCs w:val="22"/>
        </w:rPr>
      </w:pPr>
      <w:r>
        <w:rPr>
          <w:szCs w:val="22"/>
        </w:rPr>
        <w:t xml:space="preserve"> 08/2025</w:t>
      </w:r>
    </w:p>
    <w:p w14:paraId="16BA7E23" w14:textId="77777777" w:rsidR="00BA1E9C" w:rsidRDefault="00BA1E9C">
      <w:pPr>
        <w:tabs>
          <w:tab w:val="clear" w:pos="567"/>
        </w:tabs>
        <w:spacing w:line="240" w:lineRule="auto"/>
        <w:rPr>
          <w:szCs w:val="22"/>
        </w:rPr>
      </w:pPr>
    </w:p>
    <w:p w14:paraId="0B85BCFD" w14:textId="77777777" w:rsidR="000426C8" w:rsidRDefault="000426C8">
      <w:pPr>
        <w:tabs>
          <w:tab w:val="clear" w:pos="567"/>
        </w:tabs>
        <w:spacing w:line="240" w:lineRule="auto"/>
        <w:rPr>
          <w:szCs w:val="22"/>
        </w:rPr>
      </w:pPr>
    </w:p>
    <w:p w14:paraId="24AFF933" w14:textId="77777777" w:rsidR="00BA1E9C" w:rsidRDefault="00B00BA9">
      <w:pPr>
        <w:pStyle w:val="Style1"/>
      </w:pPr>
      <w:r>
        <w:rPr>
          <w:shd w:val="clear" w:color="auto" w:fill="D3D3D3"/>
        </w:rPr>
        <w:t>16.</w:t>
      </w:r>
      <w:r>
        <w:tab/>
        <w:t>Kontaktinformācija:</w:t>
      </w:r>
    </w:p>
    <w:p w14:paraId="0DF7D15A" w14:textId="77777777" w:rsidR="00BA1E9C" w:rsidRDefault="00BA1E9C">
      <w:pPr>
        <w:tabs>
          <w:tab w:val="clear" w:pos="567"/>
        </w:tabs>
        <w:spacing w:line="240" w:lineRule="auto"/>
        <w:rPr>
          <w:szCs w:val="22"/>
        </w:rPr>
      </w:pPr>
    </w:p>
    <w:p w14:paraId="77272988" w14:textId="5EC8ADD5" w:rsidR="00BA1E9C" w:rsidRDefault="00B00BA9">
      <w:bookmarkStart w:id="0" w:name="_Hlk73552578"/>
      <w:r>
        <w:rPr>
          <w:u w:val="single"/>
        </w:rPr>
        <w:lastRenderedPageBreak/>
        <w:t xml:space="preserve">Tirdzniecības atļaujas turētājs </w:t>
      </w:r>
      <w:r>
        <w:rPr>
          <w:iCs/>
          <w:szCs w:val="22"/>
          <w:u w:val="single"/>
        </w:rPr>
        <w:t>un kontaktinformācija, lai ziņotu par iespējamām blakusparādībām</w:t>
      </w:r>
      <w:r>
        <w:t>:</w:t>
      </w:r>
    </w:p>
    <w:p w14:paraId="34713D52" w14:textId="77777777" w:rsidR="00BA1E9C" w:rsidRDefault="00BA1E9C">
      <w:pPr>
        <w:tabs>
          <w:tab w:val="clear" w:pos="567"/>
        </w:tabs>
        <w:autoSpaceDE w:val="0"/>
        <w:spacing w:line="240" w:lineRule="auto"/>
        <w:rPr>
          <w:color w:val="000000"/>
          <w:sz w:val="24"/>
          <w:szCs w:val="24"/>
          <w:lang w:eastAsia="en-GB"/>
        </w:rPr>
      </w:pPr>
    </w:p>
    <w:p w14:paraId="774A3074" w14:textId="77777777" w:rsidR="00BA1E9C" w:rsidRDefault="00B00BA9">
      <w:pPr>
        <w:tabs>
          <w:tab w:val="clear" w:pos="567"/>
        </w:tabs>
        <w:autoSpaceDE w:val="0"/>
        <w:spacing w:line="240" w:lineRule="auto"/>
        <w:rPr>
          <w:color w:val="000000"/>
          <w:szCs w:val="22"/>
          <w:lang w:eastAsia="en-GB"/>
        </w:rPr>
      </w:pPr>
      <w:r>
        <w:rPr>
          <w:color w:val="000000"/>
          <w:szCs w:val="22"/>
          <w:lang w:eastAsia="en-GB"/>
        </w:rPr>
        <w:t>CEVA SANTE ANIMALE</w:t>
      </w:r>
    </w:p>
    <w:p w14:paraId="7431BEC9" w14:textId="53C1A988" w:rsidR="00BA1E9C" w:rsidRDefault="00006FD3">
      <w:pPr>
        <w:rPr>
          <w:color w:val="000000"/>
          <w:szCs w:val="22"/>
          <w:lang w:eastAsia="en-GB"/>
        </w:rPr>
      </w:pPr>
      <w:r w:rsidRPr="0098296A">
        <w:rPr>
          <w:iCs/>
          <w:szCs w:val="22"/>
          <w:lang w:val="en-US"/>
        </w:rPr>
        <w:t>8 rue de Logrono</w:t>
      </w:r>
      <w:r w:rsidRPr="0098296A">
        <w:rPr>
          <w:iCs/>
          <w:szCs w:val="22"/>
        </w:rPr>
        <w:t>, 33500 Libourne</w:t>
      </w:r>
      <w:r>
        <w:rPr>
          <w:iCs/>
          <w:szCs w:val="22"/>
        </w:rPr>
        <w:t xml:space="preserve"> </w:t>
      </w:r>
      <w:r w:rsidR="00B00BA9">
        <w:rPr>
          <w:color w:val="000000"/>
          <w:szCs w:val="22"/>
          <w:lang w:eastAsia="en-GB"/>
        </w:rPr>
        <w:t>Francija</w:t>
      </w:r>
    </w:p>
    <w:p w14:paraId="33710D8C" w14:textId="77777777" w:rsidR="00BA1E9C" w:rsidRDefault="00BA1E9C">
      <w:pPr>
        <w:rPr>
          <w:b/>
          <w:bCs/>
          <w:iCs/>
          <w:szCs w:val="22"/>
        </w:rPr>
      </w:pPr>
    </w:p>
    <w:p w14:paraId="13217653" w14:textId="73CEFD4C" w:rsidR="00223B03" w:rsidRDefault="00B105BE">
      <w:pPr>
        <w:rPr>
          <w:iCs/>
          <w:szCs w:val="22"/>
          <w:u w:val="single"/>
        </w:rPr>
      </w:pPr>
      <w:r>
        <w:rPr>
          <w:iCs/>
          <w:szCs w:val="22"/>
          <w:u w:val="single"/>
        </w:rPr>
        <w:t>Par sērijas izlaidi atbildīgais ražotājs:</w:t>
      </w:r>
    </w:p>
    <w:p w14:paraId="41E2C615" w14:textId="77777777" w:rsidR="00B105BE" w:rsidRPr="00501FD7" w:rsidRDefault="00B105BE" w:rsidP="00B105BE">
      <w:pPr>
        <w:rPr>
          <w:iCs/>
          <w:szCs w:val="22"/>
          <w:lang w:val="lt-LT"/>
        </w:rPr>
      </w:pPr>
      <w:r w:rsidRPr="00501FD7">
        <w:rPr>
          <w:iCs/>
          <w:szCs w:val="22"/>
          <w:lang w:val="lt-LT"/>
        </w:rPr>
        <w:t>CEVA SANTE ANIMALE</w:t>
      </w:r>
    </w:p>
    <w:p w14:paraId="33D5F3FD" w14:textId="294C1EAF" w:rsidR="00B105BE" w:rsidRDefault="00B105BE" w:rsidP="00B105BE">
      <w:pPr>
        <w:rPr>
          <w:iCs/>
          <w:szCs w:val="22"/>
          <w:lang w:val="lt-LT"/>
        </w:rPr>
      </w:pPr>
      <w:r w:rsidRPr="00501FD7">
        <w:rPr>
          <w:iCs/>
          <w:szCs w:val="22"/>
          <w:lang w:val="lt-LT"/>
        </w:rPr>
        <w:t>Zone Industrielle, La Ballastiēre 33500 Libourne</w:t>
      </w:r>
      <w:r>
        <w:rPr>
          <w:iCs/>
          <w:szCs w:val="22"/>
          <w:lang w:val="lt-LT"/>
        </w:rPr>
        <w:t>,</w:t>
      </w:r>
    </w:p>
    <w:p w14:paraId="2980E6C8" w14:textId="64AB9F77" w:rsidR="00B105BE" w:rsidRPr="00501FD7" w:rsidRDefault="00B105BE" w:rsidP="00B105BE">
      <w:pPr>
        <w:rPr>
          <w:iCs/>
          <w:szCs w:val="22"/>
          <w:lang w:val="lt-LT"/>
        </w:rPr>
      </w:pPr>
      <w:r>
        <w:rPr>
          <w:iCs/>
          <w:szCs w:val="22"/>
          <w:lang w:val="lt-LT"/>
        </w:rPr>
        <w:t>Francija</w:t>
      </w:r>
    </w:p>
    <w:p w14:paraId="532E3678" w14:textId="77777777" w:rsidR="00B105BE" w:rsidRDefault="00B105BE">
      <w:pPr>
        <w:rPr>
          <w:b/>
          <w:bCs/>
          <w:iCs/>
          <w:szCs w:val="22"/>
        </w:rPr>
      </w:pPr>
    </w:p>
    <w:p w14:paraId="07212FD4" w14:textId="77777777" w:rsidR="00B105BE" w:rsidRDefault="00B105BE">
      <w:pPr>
        <w:rPr>
          <w:b/>
          <w:bCs/>
          <w:iCs/>
          <w:szCs w:val="22"/>
        </w:rPr>
      </w:pPr>
    </w:p>
    <w:p w14:paraId="455F5BC9" w14:textId="77777777" w:rsidR="00B105BE" w:rsidRDefault="00B105BE">
      <w:pPr>
        <w:rPr>
          <w:b/>
          <w:bCs/>
          <w:iCs/>
          <w:szCs w:val="22"/>
        </w:rPr>
      </w:pPr>
    </w:p>
    <w:p w14:paraId="05C5060D" w14:textId="77777777" w:rsidR="00BA1E9C" w:rsidRDefault="00B00BA9">
      <w:pPr>
        <w:rPr>
          <w:b/>
          <w:bCs/>
          <w:iCs/>
          <w:szCs w:val="22"/>
        </w:rPr>
      </w:pPr>
      <w:r w:rsidRPr="000426C8">
        <w:rPr>
          <w:b/>
          <w:bCs/>
          <w:iCs/>
          <w:szCs w:val="22"/>
          <w:highlight w:val="lightGray"/>
        </w:rPr>
        <w:t>17.</w:t>
      </w:r>
      <w:r>
        <w:rPr>
          <w:b/>
          <w:bCs/>
          <w:iCs/>
          <w:szCs w:val="22"/>
        </w:rPr>
        <w:t xml:space="preserve"> </w:t>
      </w:r>
      <w:r>
        <w:rPr>
          <w:b/>
          <w:bCs/>
          <w:iCs/>
          <w:szCs w:val="22"/>
        </w:rPr>
        <w:tab/>
        <w:t xml:space="preserve">PARALĒLI </w:t>
      </w:r>
      <w:r w:rsidR="00223B03" w:rsidRPr="00223B03">
        <w:rPr>
          <w:b/>
          <w:bCs/>
          <w:iCs/>
          <w:szCs w:val="22"/>
        </w:rPr>
        <w:t xml:space="preserve">TIRGOTO </w:t>
      </w:r>
      <w:r>
        <w:rPr>
          <w:b/>
          <w:bCs/>
          <w:iCs/>
          <w:szCs w:val="22"/>
        </w:rPr>
        <w:t xml:space="preserve">VETERINĀRO ZĀĻU </w:t>
      </w:r>
      <w:r w:rsidR="00223B03" w:rsidRPr="00223B03">
        <w:rPr>
          <w:b/>
          <w:bCs/>
          <w:iCs/>
          <w:szCs w:val="22"/>
        </w:rPr>
        <w:t xml:space="preserve">IZPLATĪTĀJS </w:t>
      </w:r>
      <w:r>
        <w:rPr>
          <w:b/>
          <w:bCs/>
          <w:iCs/>
          <w:szCs w:val="22"/>
        </w:rPr>
        <w:t>:</w:t>
      </w:r>
    </w:p>
    <w:p w14:paraId="7285E787" w14:textId="77777777" w:rsidR="00BA1E9C" w:rsidRDefault="00B00BA9">
      <w:pPr>
        <w:rPr>
          <w:iCs/>
          <w:szCs w:val="22"/>
        </w:rPr>
      </w:pPr>
      <w:r>
        <w:rPr>
          <w:iCs/>
          <w:szCs w:val="22"/>
        </w:rPr>
        <w:t xml:space="preserve">SIA “Vetmarket”, Eglaines iela 1, Jelgavas novads, Ozolnieki, LV-3018, Tel.:+371 29999662, </w:t>
      </w:r>
      <w:hyperlink r:id="rId6" w:history="1">
        <w:r w:rsidR="00223B03" w:rsidRPr="007648AA">
          <w:rPr>
            <w:rStyle w:val="Hyperlink"/>
            <w:iCs/>
            <w:szCs w:val="22"/>
          </w:rPr>
          <w:t>www.vetmarket.lv</w:t>
        </w:r>
      </w:hyperlink>
      <w:r w:rsidR="00223B03">
        <w:rPr>
          <w:iCs/>
          <w:szCs w:val="22"/>
        </w:rPr>
        <w:t xml:space="preserve"> </w:t>
      </w:r>
      <w:r>
        <w:rPr>
          <w:iCs/>
          <w:szCs w:val="22"/>
        </w:rPr>
        <w:t xml:space="preserve"> </w:t>
      </w:r>
    </w:p>
    <w:p w14:paraId="161018D6" w14:textId="77777777" w:rsidR="00BA1E9C" w:rsidRPr="000426C8" w:rsidRDefault="00B00BA9">
      <w:pPr>
        <w:rPr>
          <w:b/>
          <w:iCs/>
          <w:szCs w:val="22"/>
        </w:rPr>
      </w:pPr>
      <w:r w:rsidRPr="000426C8">
        <w:rPr>
          <w:b/>
          <w:iCs/>
          <w:szCs w:val="22"/>
        </w:rPr>
        <w:t>Veterinā</w:t>
      </w:r>
      <w:r w:rsidR="00223B03" w:rsidRPr="000426C8">
        <w:rPr>
          <w:b/>
          <w:iCs/>
          <w:szCs w:val="22"/>
        </w:rPr>
        <w:t>r</w:t>
      </w:r>
      <w:r w:rsidRPr="000426C8">
        <w:rPr>
          <w:b/>
          <w:iCs/>
          <w:szCs w:val="22"/>
        </w:rPr>
        <w:t xml:space="preserve">o zāļu pārmarķētājs: </w:t>
      </w:r>
    </w:p>
    <w:p w14:paraId="029587B6" w14:textId="77777777" w:rsidR="00BA1E9C" w:rsidRPr="000426C8" w:rsidRDefault="00B00BA9">
      <w:pPr>
        <w:rPr>
          <w:b/>
          <w:iCs/>
          <w:szCs w:val="22"/>
        </w:rPr>
      </w:pPr>
      <w:r w:rsidRPr="000426C8">
        <w:rPr>
          <w:b/>
          <w:iCs/>
          <w:szCs w:val="22"/>
        </w:rPr>
        <w:t>Pārmarķēšanas sērijas Nr.:</w:t>
      </w:r>
    </w:p>
    <w:p w14:paraId="3D840CE9" w14:textId="77777777" w:rsidR="00BA1E9C" w:rsidRDefault="00B00BA9">
      <w:pPr>
        <w:rPr>
          <w:iCs/>
          <w:szCs w:val="22"/>
        </w:rPr>
      </w:pPr>
      <w:r>
        <w:rPr>
          <w:iCs/>
          <w:szCs w:val="22"/>
        </w:rPr>
        <w:t xml:space="preserve">Paralēli </w:t>
      </w:r>
      <w:r w:rsidR="00223B03" w:rsidRPr="00223B03">
        <w:rPr>
          <w:iCs/>
          <w:szCs w:val="22"/>
        </w:rPr>
        <w:t xml:space="preserve">tirgoto </w:t>
      </w:r>
      <w:r>
        <w:rPr>
          <w:iCs/>
          <w:szCs w:val="22"/>
        </w:rPr>
        <w:t xml:space="preserve">veterināro zāļu </w:t>
      </w:r>
      <w:r w:rsidR="00223B03" w:rsidRPr="00223B03">
        <w:rPr>
          <w:iCs/>
          <w:szCs w:val="22"/>
        </w:rPr>
        <w:t xml:space="preserve">tirdzniecības atļaujas </w:t>
      </w:r>
      <w:r>
        <w:rPr>
          <w:iCs/>
          <w:szCs w:val="22"/>
        </w:rPr>
        <w:t xml:space="preserve">numurs Latvijas veterināro zāļu reģistrā: </w:t>
      </w:r>
      <w:r w:rsidRPr="000426C8">
        <w:rPr>
          <w:b/>
          <w:iCs/>
          <w:szCs w:val="22"/>
        </w:rPr>
        <w:t>V/I/19/0052</w:t>
      </w:r>
    </w:p>
    <w:p w14:paraId="0DF01E8B" w14:textId="77777777" w:rsidR="00BA1E9C" w:rsidRDefault="00BA1E9C">
      <w:pPr>
        <w:rPr>
          <w:iCs/>
          <w:szCs w:val="22"/>
        </w:rPr>
      </w:pPr>
    </w:p>
    <w:bookmarkEnd w:id="0"/>
    <w:p w14:paraId="4FD06115" w14:textId="77777777" w:rsidR="00BA1E9C" w:rsidRDefault="00BA1E9C">
      <w:pPr>
        <w:tabs>
          <w:tab w:val="clear" w:pos="567"/>
        </w:tabs>
        <w:spacing w:line="240" w:lineRule="auto"/>
        <w:rPr>
          <w:szCs w:val="22"/>
        </w:rPr>
      </w:pPr>
    </w:p>
    <w:p w14:paraId="08295160" w14:textId="77777777" w:rsidR="00BA1E9C" w:rsidRDefault="00BA1E9C"/>
    <w:sectPr w:rsidR="00BA1E9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0DB0F" w14:textId="77777777" w:rsidR="00D92742" w:rsidRDefault="00D92742">
      <w:pPr>
        <w:spacing w:line="240" w:lineRule="auto"/>
      </w:pPr>
      <w:r>
        <w:separator/>
      </w:r>
    </w:p>
  </w:endnote>
  <w:endnote w:type="continuationSeparator" w:id="0">
    <w:p w14:paraId="75F57D7C" w14:textId="77777777" w:rsidR="00D92742" w:rsidRDefault="00D92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F0696" w14:textId="77777777" w:rsidR="00D92742" w:rsidRDefault="00D92742">
      <w:pPr>
        <w:spacing w:line="240" w:lineRule="auto"/>
      </w:pPr>
      <w:r>
        <w:rPr>
          <w:color w:val="000000"/>
        </w:rPr>
        <w:separator/>
      </w:r>
    </w:p>
  </w:footnote>
  <w:footnote w:type="continuationSeparator" w:id="0">
    <w:p w14:paraId="259DAC9E" w14:textId="77777777" w:rsidR="00D92742" w:rsidRDefault="00D9274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E9C"/>
    <w:rsid w:val="00006FD3"/>
    <w:rsid w:val="000426C8"/>
    <w:rsid w:val="0008123C"/>
    <w:rsid w:val="00152563"/>
    <w:rsid w:val="00170E5F"/>
    <w:rsid w:val="00223B03"/>
    <w:rsid w:val="003A1BF1"/>
    <w:rsid w:val="00485BA1"/>
    <w:rsid w:val="00501FD7"/>
    <w:rsid w:val="00541714"/>
    <w:rsid w:val="00732FA9"/>
    <w:rsid w:val="00746E17"/>
    <w:rsid w:val="00B00BA9"/>
    <w:rsid w:val="00B105BE"/>
    <w:rsid w:val="00B8290C"/>
    <w:rsid w:val="00BA1E9C"/>
    <w:rsid w:val="00BA24BE"/>
    <w:rsid w:val="00C63709"/>
    <w:rsid w:val="00CB09A0"/>
    <w:rsid w:val="00CD217C"/>
    <w:rsid w:val="00D1256B"/>
    <w:rsid w:val="00D92742"/>
    <w:rsid w:val="00DA24A9"/>
    <w:rsid w:val="00E244B3"/>
    <w:rsid w:val="00F74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A13EC"/>
  <w15:docId w15:val="{E3FA084F-EF9D-45A1-B9A5-C4AC60D4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s>
      <w:suppressAutoHyphens/>
      <w:spacing w:after="0" w:line="260" w:lineRule="exact"/>
    </w:pPr>
    <w:rPr>
      <w:rFonts w:ascii="Times New Roman" w:eastAsia="Times New Roman" w:hAnsi="Times New Roman"/>
      <w:kern w:val="0"/>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tabs>
        <w:tab w:val="clear" w:pos="567"/>
        <w:tab w:val="left" w:pos="0"/>
      </w:tabs>
      <w:spacing w:line="240" w:lineRule="auto"/>
      <w:ind w:left="567" w:hanging="567"/>
    </w:pPr>
    <w:rPr>
      <w:b/>
      <w:szCs w:val="22"/>
    </w:rPr>
  </w:style>
  <w:style w:type="character" w:styleId="Hyperlink">
    <w:name w:val="Hyperlink"/>
    <w:basedOn w:val="DefaultParagraphFont"/>
    <w:uiPriority w:val="99"/>
    <w:unhideWhenUsed/>
    <w:rsid w:val="00223B03"/>
    <w:rPr>
      <w:color w:val="0563C1" w:themeColor="hyperlink"/>
      <w:u w:val="single"/>
    </w:rPr>
  </w:style>
  <w:style w:type="character" w:styleId="UnresolvedMention">
    <w:name w:val="Unresolved Mention"/>
    <w:basedOn w:val="DefaultParagraphFont"/>
    <w:uiPriority w:val="99"/>
    <w:semiHidden/>
    <w:unhideWhenUsed/>
    <w:rsid w:val="00223B03"/>
    <w:rPr>
      <w:color w:val="605E5C"/>
      <w:shd w:val="clear" w:color="auto" w:fill="E1DFDD"/>
    </w:rPr>
  </w:style>
  <w:style w:type="paragraph" w:styleId="BalloonText">
    <w:name w:val="Balloon Text"/>
    <w:basedOn w:val="Normal"/>
    <w:link w:val="BalloonTextChar"/>
    <w:uiPriority w:val="99"/>
    <w:semiHidden/>
    <w:unhideWhenUsed/>
    <w:rsid w:val="0015256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563"/>
    <w:rPr>
      <w:rFonts w:ascii="Segoe UI" w:eastAsia="Times New Roman" w:hAnsi="Segoe UI" w:cs="Segoe UI"/>
      <w:kern w:val="0"/>
      <w:sz w:val="18"/>
      <w:szCs w:val="18"/>
      <w:lang w:val="lv-LV"/>
    </w:rPr>
  </w:style>
  <w:style w:type="paragraph" w:styleId="Revision">
    <w:name w:val="Revision"/>
    <w:hidden/>
    <w:uiPriority w:val="99"/>
    <w:semiHidden/>
    <w:rsid w:val="00541714"/>
    <w:pPr>
      <w:autoSpaceDN/>
      <w:spacing w:after="0" w:line="240" w:lineRule="auto"/>
    </w:pPr>
    <w:rPr>
      <w:rFonts w:ascii="Times New Roman" w:eastAsia="Times New Roman" w:hAnsi="Times New Roman"/>
      <w:kern w:val="0"/>
      <w:szCs w:val="20"/>
      <w:lang w:val="lv-LV"/>
    </w:rPr>
  </w:style>
  <w:style w:type="character" w:styleId="CommentReference">
    <w:name w:val="annotation reference"/>
    <w:basedOn w:val="DefaultParagraphFont"/>
    <w:uiPriority w:val="99"/>
    <w:semiHidden/>
    <w:unhideWhenUsed/>
    <w:rsid w:val="00006FD3"/>
    <w:rPr>
      <w:sz w:val="16"/>
      <w:szCs w:val="16"/>
    </w:rPr>
  </w:style>
  <w:style w:type="paragraph" w:styleId="CommentText">
    <w:name w:val="annotation text"/>
    <w:basedOn w:val="Normal"/>
    <w:link w:val="CommentTextChar"/>
    <w:uiPriority w:val="99"/>
    <w:unhideWhenUsed/>
    <w:rsid w:val="00006FD3"/>
    <w:pPr>
      <w:spacing w:line="240" w:lineRule="auto"/>
    </w:pPr>
    <w:rPr>
      <w:sz w:val="20"/>
    </w:rPr>
  </w:style>
  <w:style w:type="character" w:customStyle="1" w:styleId="CommentTextChar">
    <w:name w:val="Comment Text Char"/>
    <w:basedOn w:val="DefaultParagraphFont"/>
    <w:link w:val="CommentText"/>
    <w:uiPriority w:val="99"/>
    <w:rsid w:val="00006FD3"/>
    <w:rPr>
      <w:rFonts w:ascii="Times New Roman" w:eastAsia="Times New Roman" w:hAnsi="Times New Roman"/>
      <w:kern w:val="0"/>
      <w:sz w:val="20"/>
      <w:szCs w:val="20"/>
      <w:lang w:val="lv-LV"/>
    </w:rPr>
  </w:style>
  <w:style w:type="paragraph" w:styleId="CommentSubject">
    <w:name w:val="annotation subject"/>
    <w:basedOn w:val="CommentText"/>
    <w:next w:val="CommentText"/>
    <w:link w:val="CommentSubjectChar"/>
    <w:uiPriority w:val="99"/>
    <w:semiHidden/>
    <w:unhideWhenUsed/>
    <w:rsid w:val="00006FD3"/>
    <w:rPr>
      <w:b/>
      <w:bCs/>
    </w:rPr>
  </w:style>
  <w:style w:type="character" w:customStyle="1" w:styleId="CommentSubjectChar">
    <w:name w:val="Comment Subject Char"/>
    <w:basedOn w:val="CommentTextChar"/>
    <w:link w:val="CommentSubject"/>
    <w:uiPriority w:val="99"/>
    <w:semiHidden/>
    <w:rsid w:val="00006FD3"/>
    <w:rPr>
      <w:rFonts w:ascii="Times New Roman" w:eastAsia="Times New Roman" w:hAnsi="Times New Roman"/>
      <w:b/>
      <w:bCs/>
      <w:kern w:val="0"/>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749749">
      <w:bodyDiv w:val="1"/>
      <w:marLeft w:val="0"/>
      <w:marRight w:val="0"/>
      <w:marTop w:val="0"/>
      <w:marBottom w:val="0"/>
      <w:divBdr>
        <w:top w:val="none" w:sz="0" w:space="0" w:color="auto"/>
        <w:left w:val="none" w:sz="0" w:space="0" w:color="auto"/>
        <w:bottom w:val="none" w:sz="0" w:space="0" w:color="auto"/>
        <w:right w:val="none" w:sz="0" w:space="0" w:color="auto"/>
      </w:divBdr>
    </w:div>
    <w:div w:id="1907569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etmarket.lv"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5112</Words>
  <Characters>2914</Characters>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terms:created xsi:type="dcterms:W3CDTF">1970-01-01T00:00:00Z</dcterms:created>
  <dcterms:modified xsi:type="dcterms:W3CDTF">1970-01-01T00:00:00Z</dcterms:modified>
</cp:coreProperties>
</file>