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61CB2" w14:textId="77777777" w:rsidR="00E14393" w:rsidRPr="00B93FFD" w:rsidRDefault="00E14393" w:rsidP="00E14393">
      <w:pPr>
        <w:spacing w:after="0" w:line="240" w:lineRule="auto"/>
        <w:ind w:right="113"/>
        <w:jc w:val="center"/>
        <w:rPr>
          <w:rFonts w:ascii="Times New Roman" w:eastAsia="Times New Roman" w:hAnsi="Times New Roman"/>
          <w:b/>
          <w:color w:val="000000"/>
        </w:rPr>
      </w:pPr>
      <w:r w:rsidRPr="00B93FFD">
        <w:rPr>
          <w:rFonts w:ascii="Times New Roman" w:eastAsia="Times New Roman" w:hAnsi="Times New Roman"/>
          <w:b/>
          <w:color w:val="000000"/>
        </w:rPr>
        <w:t>LIETOŠANAS INSTRUKCIJA</w:t>
      </w:r>
    </w:p>
    <w:p w14:paraId="5309C4D6" w14:textId="77777777" w:rsidR="00A6440B" w:rsidRDefault="00B67662" w:rsidP="00E14393">
      <w:pPr>
        <w:spacing w:after="0" w:line="240" w:lineRule="auto"/>
        <w:jc w:val="center"/>
        <w:rPr>
          <w:rFonts w:ascii="Times New Roman" w:hAnsi="Times New Roman"/>
          <w:b/>
          <w:color w:val="000000"/>
        </w:rPr>
      </w:pPr>
      <w:r w:rsidRPr="00B67662">
        <w:rPr>
          <w:rFonts w:ascii="Times New Roman" w:hAnsi="Times New Roman"/>
          <w:b/>
          <w:color w:val="000000"/>
        </w:rPr>
        <w:t>V/I/21/0045</w:t>
      </w:r>
      <w:r>
        <w:rPr>
          <w:rFonts w:ascii="Times New Roman" w:hAnsi="Times New Roman"/>
          <w:b/>
          <w:color w:val="000000"/>
        </w:rPr>
        <w:t xml:space="preserve"> </w:t>
      </w:r>
    </w:p>
    <w:p w14:paraId="5DEFEF84" w14:textId="364A14B9" w:rsidR="00E14393" w:rsidRPr="00B93FFD" w:rsidRDefault="00902052" w:rsidP="00E14393">
      <w:pPr>
        <w:spacing w:after="0" w:line="240" w:lineRule="auto"/>
        <w:jc w:val="center"/>
        <w:rPr>
          <w:rFonts w:ascii="Times New Roman" w:eastAsia="Times New Roman" w:hAnsi="Times New Roman"/>
          <w:b/>
          <w:bCs/>
          <w:color w:val="000000"/>
        </w:rPr>
      </w:pPr>
      <w:proofErr w:type="spellStart"/>
      <w:r w:rsidRPr="00902052">
        <w:rPr>
          <w:rFonts w:ascii="Times New Roman" w:eastAsia="Times New Roman" w:hAnsi="Times New Roman"/>
          <w:b/>
          <w:bCs/>
          <w:lang w:val="fr-FR"/>
        </w:rPr>
        <w:t>Drontal</w:t>
      </w:r>
      <w:proofErr w:type="spellEnd"/>
      <w:r w:rsidRPr="00902052">
        <w:rPr>
          <w:rFonts w:ascii="Times New Roman" w:eastAsia="Times New Roman" w:hAnsi="Times New Roman"/>
          <w:b/>
          <w:bCs/>
          <w:lang w:val="fr-FR"/>
        </w:rPr>
        <w:t xml:space="preserve"> Plus </w:t>
      </w:r>
      <w:proofErr w:type="spellStart"/>
      <w:r w:rsidRPr="00902052">
        <w:rPr>
          <w:rFonts w:ascii="Times New Roman" w:eastAsia="Times New Roman" w:hAnsi="Times New Roman"/>
          <w:b/>
          <w:bCs/>
          <w:lang w:val="fr-FR"/>
        </w:rPr>
        <w:t>Flavour</w:t>
      </w:r>
      <w:proofErr w:type="spellEnd"/>
      <w:r w:rsidRPr="00902052">
        <w:rPr>
          <w:rFonts w:ascii="Times New Roman" w:eastAsia="Times New Roman" w:hAnsi="Times New Roman"/>
          <w:b/>
          <w:bCs/>
          <w:lang w:val="fr-FR"/>
        </w:rPr>
        <w:t xml:space="preserve"> 35 kg</w:t>
      </w:r>
      <w:r w:rsidR="00E14393" w:rsidRPr="00902052">
        <w:rPr>
          <w:rFonts w:ascii="Times New Roman" w:eastAsia="Times New Roman" w:hAnsi="Times New Roman"/>
          <w:b/>
          <w:bCs/>
          <w:lang w:val="fr-FR"/>
        </w:rPr>
        <w:t xml:space="preserve"> 525/504/175 mg </w:t>
      </w:r>
      <w:proofErr w:type="spellStart"/>
      <w:r w:rsidR="00E14393" w:rsidRPr="00902052">
        <w:rPr>
          <w:rFonts w:ascii="Times New Roman" w:eastAsia="Times New Roman" w:hAnsi="Times New Roman"/>
          <w:b/>
          <w:bCs/>
          <w:lang w:val="fr-FR"/>
        </w:rPr>
        <w:t>tabletes</w:t>
      </w:r>
      <w:proofErr w:type="spellEnd"/>
    </w:p>
    <w:p w14:paraId="58C4807B"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0581CD3F"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5FABA634" w14:textId="77777777" w:rsidR="00E14393" w:rsidRPr="00B93FFD" w:rsidRDefault="00E14393" w:rsidP="00E14393">
      <w:pPr>
        <w:tabs>
          <w:tab w:val="left" w:pos="567"/>
        </w:tabs>
        <w:spacing w:after="0" w:line="240" w:lineRule="auto"/>
        <w:ind w:left="567" w:hanging="567"/>
        <w:rPr>
          <w:rFonts w:ascii="Times New Roman" w:eastAsia="Times New Roman" w:hAnsi="Times New Roman"/>
          <w:b/>
          <w:color w:val="000000"/>
        </w:rPr>
      </w:pPr>
      <w:r w:rsidRPr="00B93FFD">
        <w:rPr>
          <w:rFonts w:ascii="Times New Roman" w:eastAsia="Times New Roman" w:hAnsi="Times New Roman"/>
          <w:b/>
          <w:color w:val="000000"/>
          <w:highlight w:val="lightGray"/>
        </w:rPr>
        <w:t>1.</w:t>
      </w:r>
      <w:r w:rsidRPr="00B93FFD">
        <w:rPr>
          <w:rFonts w:ascii="Times New Roman" w:eastAsia="Times New Roman" w:hAnsi="Times New Roman"/>
          <w:b/>
          <w:color w:val="000000"/>
        </w:rPr>
        <w:tab/>
        <w:t>REĢISTRĀCIJAS APLIECĪBAS ĪPAŠNIEKA UN RAŽOŠANAS LICENCES TURĒTĀJA, KURŠ ATBILD PAR SĒRIJAS IZLAIDI, NOSAUKUMS UN ADRESE, JA DAŽĀDI</w:t>
      </w:r>
    </w:p>
    <w:p w14:paraId="5713FB32" w14:textId="77777777" w:rsidR="00E14393" w:rsidRPr="00B93FFD" w:rsidRDefault="00E14393" w:rsidP="00E14393">
      <w:pPr>
        <w:spacing w:after="0" w:line="240" w:lineRule="auto"/>
        <w:jc w:val="both"/>
        <w:rPr>
          <w:rFonts w:ascii="Times New Roman" w:eastAsia="Times New Roman" w:hAnsi="Times New Roman"/>
          <w:color w:val="000000"/>
        </w:rPr>
      </w:pPr>
    </w:p>
    <w:p w14:paraId="349892FE"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u w:val="single"/>
        </w:rPr>
        <w:t>Reģistrācijas apliecības īpašnieks</w:t>
      </w:r>
      <w:r w:rsidRPr="00B93FFD">
        <w:rPr>
          <w:rFonts w:ascii="Times New Roman" w:eastAsia="Times New Roman" w:hAnsi="Times New Roman"/>
          <w:color w:val="000000"/>
        </w:rPr>
        <w:t>:</w:t>
      </w:r>
    </w:p>
    <w:p w14:paraId="0A0E2A5C" w14:textId="77777777" w:rsidR="00B67662" w:rsidRDefault="00B67662" w:rsidP="00E14393">
      <w:pPr>
        <w:spacing w:after="0" w:line="240" w:lineRule="auto"/>
        <w:ind w:right="-318"/>
        <w:jc w:val="both"/>
        <w:rPr>
          <w:rFonts w:ascii="Times New Roman" w:eastAsia="Times New Roman" w:hAnsi="Times New Roman"/>
          <w:color w:val="000000"/>
        </w:rPr>
      </w:pPr>
      <w:proofErr w:type="spellStart"/>
      <w:r w:rsidRPr="00B67662">
        <w:rPr>
          <w:rFonts w:ascii="Times New Roman" w:eastAsia="Times New Roman" w:hAnsi="Times New Roman"/>
          <w:color w:val="000000"/>
        </w:rPr>
        <w:t>Bayer</w:t>
      </w:r>
      <w:proofErr w:type="spellEnd"/>
      <w:r w:rsidRPr="00B67662">
        <w:rPr>
          <w:rFonts w:ascii="Times New Roman" w:eastAsia="Times New Roman" w:hAnsi="Times New Roman"/>
          <w:color w:val="000000"/>
        </w:rPr>
        <w:t xml:space="preserve"> </w:t>
      </w:r>
      <w:proofErr w:type="spellStart"/>
      <w:r w:rsidRPr="00B67662">
        <w:rPr>
          <w:rFonts w:ascii="Times New Roman" w:eastAsia="Times New Roman" w:hAnsi="Times New Roman"/>
          <w:color w:val="000000"/>
        </w:rPr>
        <w:t>Animal</w:t>
      </w:r>
      <w:proofErr w:type="spellEnd"/>
      <w:r w:rsidRPr="00B67662">
        <w:rPr>
          <w:rFonts w:ascii="Times New Roman" w:eastAsia="Times New Roman" w:hAnsi="Times New Roman"/>
          <w:color w:val="000000"/>
        </w:rPr>
        <w:t xml:space="preserve"> Health </w:t>
      </w:r>
      <w:proofErr w:type="spellStart"/>
      <w:r w:rsidRPr="00B67662">
        <w:rPr>
          <w:rFonts w:ascii="Times New Roman" w:eastAsia="Times New Roman" w:hAnsi="Times New Roman"/>
          <w:color w:val="000000"/>
        </w:rPr>
        <w:t>GmbH</w:t>
      </w:r>
      <w:proofErr w:type="spellEnd"/>
    </w:p>
    <w:p w14:paraId="152555D0" w14:textId="77777777" w:rsidR="00B67662" w:rsidRDefault="00B67662" w:rsidP="00E14393">
      <w:pPr>
        <w:spacing w:after="0" w:line="240" w:lineRule="auto"/>
        <w:ind w:right="-318"/>
        <w:jc w:val="both"/>
        <w:rPr>
          <w:rFonts w:ascii="Times New Roman" w:hAnsi="Times New Roman"/>
        </w:rPr>
      </w:pPr>
      <w:r w:rsidRPr="005F1DFF">
        <w:rPr>
          <w:rFonts w:ascii="Times New Roman" w:hAnsi="Times New Roman"/>
        </w:rPr>
        <w:t>D-51368</w:t>
      </w:r>
    </w:p>
    <w:p w14:paraId="2AEF7541" w14:textId="77777777" w:rsidR="00B67662" w:rsidRDefault="00B67662" w:rsidP="00E14393">
      <w:pPr>
        <w:spacing w:after="0" w:line="240" w:lineRule="auto"/>
        <w:ind w:right="-318"/>
        <w:jc w:val="both"/>
        <w:rPr>
          <w:rFonts w:ascii="Times New Roman" w:eastAsia="Times New Roman" w:hAnsi="Times New Roman"/>
          <w:color w:val="000000"/>
        </w:rPr>
      </w:pPr>
      <w:proofErr w:type="spellStart"/>
      <w:r>
        <w:rPr>
          <w:rFonts w:ascii="Times New Roman" w:eastAsia="Times New Roman" w:hAnsi="Times New Roman"/>
          <w:color w:val="000000"/>
        </w:rPr>
        <w:t>Leverkuzene</w:t>
      </w:r>
      <w:proofErr w:type="spellEnd"/>
    </w:p>
    <w:p w14:paraId="554D7DF6" w14:textId="37F45278" w:rsidR="00E14393" w:rsidRPr="00B93FFD" w:rsidRDefault="00B67662" w:rsidP="00E14393">
      <w:pPr>
        <w:spacing w:after="0" w:line="240" w:lineRule="auto"/>
        <w:jc w:val="both"/>
        <w:rPr>
          <w:rFonts w:ascii="Times New Roman" w:eastAsia="Times New Roman" w:hAnsi="Times New Roman"/>
          <w:color w:val="000000"/>
        </w:rPr>
      </w:pPr>
      <w:r>
        <w:rPr>
          <w:rFonts w:ascii="Times New Roman" w:eastAsia="Times New Roman" w:hAnsi="Times New Roman"/>
          <w:color w:val="000000"/>
        </w:rPr>
        <w:t xml:space="preserve">Vācija </w:t>
      </w:r>
    </w:p>
    <w:p w14:paraId="18E6200F" w14:textId="77777777" w:rsidR="00E14393" w:rsidRPr="00B93FFD" w:rsidRDefault="00E14393" w:rsidP="00E14393">
      <w:pPr>
        <w:spacing w:after="0" w:line="240" w:lineRule="auto"/>
        <w:jc w:val="both"/>
        <w:rPr>
          <w:rFonts w:ascii="Times New Roman" w:eastAsia="Times New Roman" w:hAnsi="Times New Roman"/>
          <w:color w:val="000000"/>
          <w:u w:val="single"/>
        </w:rPr>
      </w:pPr>
      <w:r w:rsidRPr="00B93FFD">
        <w:rPr>
          <w:rFonts w:ascii="Times New Roman" w:eastAsia="Times New Roman" w:hAnsi="Times New Roman"/>
          <w:color w:val="000000"/>
          <w:u w:val="single"/>
        </w:rPr>
        <w:t>Par sērijas izlaidi atbildīgais ražotājs:</w:t>
      </w:r>
    </w:p>
    <w:p w14:paraId="4F68A32F" w14:textId="77777777" w:rsidR="00E14393" w:rsidRPr="00B93FFD" w:rsidRDefault="00E14393" w:rsidP="00E14393">
      <w:pPr>
        <w:spacing w:after="0" w:line="240" w:lineRule="auto"/>
        <w:jc w:val="both"/>
        <w:rPr>
          <w:rFonts w:ascii="Times New Roman" w:eastAsia="Times New Roman" w:hAnsi="Times New Roman"/>
          <w:lang w:val="de-DE"/>
        </w:rPr>
      </w:pPr>
      <w:r w:rsidRPr="00B93FFD">
        <w:rPr>
          <w:rFonts w:ascii="Times New Roman" w:eastAsia="Times New Roman" w:hAnsi="Times New Roman"/>
          <w:lang w:val="de-DE"/>
        </w:rPr>
        <w:t xml:space="preserve">KVP Pharma und Veterinär Produkte GmbH , Projensdorfer Str. 324, 24106 Kiel, Vācija </w:t>
      </w:r>
    </w:p>
    <w:p w14:paraId="7C4923B4" w14:textId="77777777" w:rsidR="00E14393" w:rsidRPr="00B93FFD" w:rsidRDefault="00E14393" w:rsidP="00E14393">
      <w:pPr>
        <w:spacing w:after="0" w:line="240" w:lineRule="auto"/>
        <w:jc w:val="both"/>
        <w:rPr>
          <w:rFonts w:ascii="Times New Roman" w:eastAsia="Times New Roman" w:hAnsi="Times New Roman"/>
          <w:color w:val="000000"/>
          <w:lang w:val="de-DE"/>
        </w:rPr>
      </w:pPr>
    </w:p>
    <w:p w14:paraId="1CEBA43B" w14:textId="77777777" w:rsidR="00E14393" w:rsidRPr="00B93FFD" w:rsidRDefault="00E14393" w:rsidP="00E14393">
      <w:pPr>
        <w:spacing w:after="0" w:line="240" w:lineRule="auto"/>
        <w:jc w:val="both"/>
        <w:rPr>
          <w:rFonts w:ascii="Times New Roman" w:eastAsia="Times New Roman" w:hAnsi="Times New Roman"/>
          <w:color w:val="000000"/>
        </w:rPr>
      </w:pPr>
    </w:p>
    <w:p w14:paraId="17083E62"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b/>
          <w:color w:val="000000"/>
        </w:rPr>
      </w:pPr>
      <w:r w:rsidRPr="00B93FFD">
        <w:rPr>
          <w:rFonts w:ascii="Times New Roman" w:eastAsia="Times New Roman" w:hAnsi="Times New Roman"/>
          <w:b/>
          <w:color w:val="000000"/>
          <w:highlight w:val="lightGray"/>
        </w:rPr>
        <w:t>2.</w:t>
      </w:r>
      <w:r w:rsidRPr="00B93FFD">
        <w:rPr>
          <w:rFonts w:ascii="Times New Roman" w:eastAsia="Times New Roman" w:hAnsi="Times New Roman"/>
          <w:b/>
          <w:color w:val="000000"/>
        </w:rPr>
        <w:tab/>
        <w:t>VETERINĀRO ZĀĻU NOSAUKUMS</w:t>
      </w:r>
    </w:p>
    <w:p w14:paraId="324DEC00" w14:textId="77777777" w:rsidR="00E14393" w:rsidRPr="00B93FFD" w:rsidRDefault="00E14393" w:rsidP="00E14393">
      <w:pPr>
        <w:spacing w:after="0" w:line="240" w:lineRule="auto"/>
        <w:jc w:val="both"/>
        <w:rPr>
          <w:rFonts w:ascii="Times New Roman" w:eastAsia="Times New Roman" w:hAnsi="Times New Roman"/>
          <w:color w:val="000000"/>
        </w:rPr>
      </w:pPr>
    </w:p>
    <w:p w14:paraId="726390E4" w14:textId="77777777" w:rsidR="00E14393" w:rsidRPr="00B93FFD" w:rsidRDefault="00902052" w:rsidP="00E14393">
      <w:pPr>
        <w:spacing w:after="0" w:line="240" w:lineRule="auto"/>
        <w:jc w:val="both"/>
        <w:rPr>
          <w:rFonts w:ascii="Times New Roman" w:eastAsia="Times New Roman" w:hAnsi="Times New Roman"/>
          <w:i/>
          <w:color w:val="000000"/>
        </w:rPr>
      </w:pPr>
      <w:proofErr w:type="spellStart"/>
      <w:r w:rsidRPr="00902052">
        <w:rPr>
          <w:rFonts w:ascii="Times New Roman" w:eastAsia="Times New Roman" w:hAnsi="Times New Roman"/>
          <w:b/>
          <w:bCs/>
          <w:lang w:val="fr-FR"/>
        </w:rPr>
        <w:t>Drontal</w:t>
      </w:r>
      <w:proofErr w:type="spellEnd"/>
      <w:r w:rsidRPr="00902052">
        <w:rPr>
          <w:rFonts w:ascii="Times New Roman" w:eastAsia="Times New Roman" w:hAnsi="Times New Roman"/>
          <w:b/>
          <w:bCs/>
          <w:lang w:val="fr-FR"/>
        </w:rPr>
        <w:t xml:space="preserve"> Plus</w:t>
      </w:r>
      <w:r w:rsidR="00E14393" w:rsidRPr="00902052">
        <w:rPr>
          <w:rFonts w:ascii="Times New Roman" w:eastAsia="Times New Roman" w:hAnsi="Times New Roman"/>
          <w:b/>
          <w:bCs/>
          <w:lang w:val="fr-FR"/>
        </w:rPr>
        <w:t xml:space="preserve"> </w:t>
      </w:r>
      <w:proofErr w:type="spellStart"/>
      <w:r w:rsidR="00E14393" w:rsidRPr="00902052">
        <w:rPr>
          <w:rFonts w:ascii="Times New Roman" w:eastAsia="Times New Roman" w:hAnsi="Times New Roman"/>
          <w:b/>
          <w:bCs/>
          <w:lang w:val="fr-FR"/>
        </w:rPr>
        <w:t>Flavour</w:t>
      </w:r>
      <w:proofErr w:type="spellEnd"/>
      <w:r w:rsidR="00E14393" w:rsidRPr="00902052">
        <w:rPr>
          <w:rFonts w:ascii="Times New Roman" w:eastAsia="Times New Roman" w:hAnsi="Times New Roman"/>
          <w:b/>
          <w:bCs/>
          <w:lang w:val="fr-FR"/>
        </w:rPr>
        <w:t xml:space="preserve"> </w:t>
      </w:r>
      <w:r w:rsidRPr="00902052">
        <w:rPr>
          <w:rFonts w:ascii="Times New Roman" w:eastAsia="Times New Roman" w:hAnsi="Times New Roman"/>
          <w:b/>
          <w:bCs/>
          <w:lang w:val="fr-FR"/>
        </w:rPr>
        <w:t>35 kg</w:t>
      </w:r>
      <w:r w:rsidR="00E14393" w:rsidRPr="00902052">
        <w:rPr>
          <w:rFonts w:ascii="Times New Roman" w:eastAsia="Times New Roman" w:hAnsi="Times New Roman"/>
          <w:lang w:val="fr-FR"/>
        </w:rPr>
        <w:t xml:space="preserve"> 525/504/175 mg </w:t>
      </w:r>
      <w:proofErr w:type="spellStart"/>
      <w:r w:rsidR="00E14393" w:rsidRPr="00902052">
        <w:rPr>
          <w:rFonts w:ascii="Times New Roman" w:eastAsia="Times New Roman" w:hAnsi="Times New Roman"/>
          <w:lang w:val="fr-FR"/>
        </w:rPr>
        <w:t>tabletes</w:t>
      </w:r>
      <w:proofErr w:type="spellEnd"/>
      <w:r w:rsidR="00E14393" w:rsidRPr="00B93FFD">
        <w:rPr>
          <w:rFonts w:ascii="Times New Roman" w:eastAsia="Times New Roman" w:hAnsi="Times New Roman"/>
          <w:i/>
          <w:color w:val="000000"/>
        </w:rPr>
        <w:t xml:space="preserve"> </w:t>
      </w:r>
    </w:p>
    <w:p w14:paraId="70BA734F" w14:textId="77777777" w:rsidR="00E14393" w:rsidRPr="00B93FFD" w:rsidRDefault="00E14393" w:rsidP="00E14393">
      <w:pPr>
        <w:spacing w:after="0" w:line="240" w:lineRule="auto"/>
        <w:jc w:val="both"/>
        <w:rPr>
          <w:rFonts w:ascii="Times New Roman" w:eastAsia="Times New Roman" w:hAnsi="Times New Roman"/>
          <w:i/>
          <w:color w:val="000000"/>
        </w:rPr>
      </w:pPr>
    </w:p>
    <w:p w14:paraId="3BE6A0E6" w14:textId="77777777" w:rsidR="00E14393" w:rsidRPr="00B93FFD" w:rsidRDefault="00E14393" w:rsidP="00E14393">
      <w:pPr>
        <w:spacing w:after="0" w:line="240" w:lineRule="auto"/>
        <w:jc w:val="both"/>
        <w:rPr>
          <w:rFonts w:ascii="Times New Roman" w:eastAsia="Times New Roman" w:hAnsi="Times New Roman"/>
          <w:i/>
          <w:color w:val="000000"/>
        </w:rPr>
      </w:pPr>
      <w:r w:rsidRPr="00B93FFD">
        <w:rPr>
          <w:rFonts w:ascii="Times New Roman" w:eastAsia="Times New Roman" w:hAnsi="Times New Roman"/>
          <w:i/>
          <w:color w:val="000000"/>
        </w:rPr>
        <w:t>Febantels/pirantela embonāts/prazikvantels</w:t>
      </w:r>
    </w:p>
    <w:p w14:paraId="19B7737F"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2DD67DBE"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18A2BB1E"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b/>
          <w:color w:val="000000"/>
        </w:rPr>
      </w:pPr>
      <w:r w:rsidRPr="00B93FFD">
        <w:rPr>
          <w:rFonts w:ascii="Times New Roman" w:eastAsia="Times New Roman" w:hAnsi="Times New Roman"/>
          <w:b/>
          <w:color w:val="000000"/>
          <w:highlight w:val="lightGray"/>
        </w:rPr>
        <w:t>3.</w:t>
      </w:r>
      <w:r w:rsidRPr="00B93FFD">
        <w:rPr>
          <w:rFonts w:ascii="Times New Roman" w:eastAsia="Times New Roman" w:hAnsi="Times New Roman"/>
          <w:b/>
          <w:color w:val="000000"/>
        </w:rPr>
        <w:tab/>
        <w:t xml:space="preserve">AKTĪVO VIELU UN CITU VIELU NOSAUKUMS </w:t>
      </w:r>
    </w:p>
    <w:p w14:paraId="35F12040" w14:textId="77777777" w:rsidR="00E14393" w:rsidRPr="00B93FFD" w:rsidRDefault="00E14393" w:rsidP="00E14393">
      <w:pPr>
        <w:spacing w:after="0" w:line="240" w:lineRule="auto"/>
        <w:jc w:val="both"/>
        <w:rPr>
          <w:rFonts w:ascii="Times New Roman" w:eastAsia="Times New Roman" w:hAnsi="Times New Roman"/>
          <w:color w:val="000000"/>
        </w:rPr>
      </w:pPr>
    </w:p>
    <w:p w14:paraId="7E6F137C"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Katra tablete satur:</w:t>
      </w:r>
    </w:p>
    <w:p w14:paraId="064B6CE5" w14:textId="77777777" w:rsidR="00E14393" w:rsidRPr="00B93FFD" w:rsidRDefault="00E14393" w:rsidP="00E14393">
      <w:pPr>
        <w:spacing w:after="0" w:line="240" w:lineRule="auto"/>
        <w:jc w:val="both"/>
        <w:rPr>
          <w:rFonts w:ascii="Times New Roman" w:eastAsia="Times New Roman" w:hAnsi="Times New Roman"/>
          <w:b/>
          <w:color w:val="000000"/>
        </w:rPr>
      </w:pPr>
      <w:r w:rsidRPr="00B93FFD">
        <w:rPr>
          <w:rFonts w:ascii="Times New Roman" w:eastAsia="Times New Roman" w:hAnsi="Times New Roman"/>
          <w:b/>
          <w:color w:val="000000"/>
        </w:rPr>
        <w:t>Aktīvās vielas:</w:t>
      </w:r>
    </w:p>
    <w:p w14:paraId="169D2F96"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Febantels</w:t>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t>525 mg</w:t>
      </w:r>
    </w:p>
    <w:p w14:paraId="27374F48"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Pirantels </w:t>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t>175 mg (atbilst 504 mg pirantela embonāta)</w:t>
      </w:r>
    </w:p>
    <w:p w14:paraId="0FE94311"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Prazikvantels</w:t>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t>175 mg</w:t>
      </w:r>
    </w:p>
    <w:p w14:paraId="02BEA8B7" w14:textId="77777777" w:rsidR="00E14393" w:rsidRPr="00B93FFD" w:rsidRDefault="00E14393" w:rsidP="00E14393">
      <w:pPr>
        <w:spacing w:after="0" w:line="240" w:lineRule="auto"/>
        <w:jc w:val="both"/>
        <w:rPr>
          <w:rFonts w:ascii="Times New Roman" w:eastAsia="Times New Roman" w:hAnsi="Times New Roman"/>
          <w:color w:val="000000"/>
        </w:rPr>
      </w:pPr>
    </w:p>
    <w:p w14:paraId="675B172C"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Gaiši brūnas līd</w:t>
      </w:r>
      <w:r w:rsidR="00902052">
        <w:rPr>
          <w:rFonts w:ascii="Times New Roman" w:eastAsia="Times New Roman" w:hAnsi="Times New Roman"/>
          <w:color w:val="000000"/>
        </w:rPr>
        <w:t>z brūnas, ar gaļas aromātvielu,</w:t>
      </w:r>
      <w:r w:rsidRPr="00B93FFD">
        <w:rPr>
          <w:rFonts w:ascii="Times New Roman" w:eastAsia="Times New Roman" w:hAnsi="Times New Roman"/>
          <w:color w:val="000000"/>
        </w:rPr>
        <w:t xml:space="preserve"> tabletes ar iešķēlumu abās pusēs, ko var pārdalīt uz pusēm.</w:t>
      </w:r>
    </w:p>
    <w:p w14:paraId="2C94D0A6" w14:textId="77777777" w:rsidR="00E14393" w:rsidRPr="00B93FFD" w:rsidRDefault="00E14393" w:rsidP="00E14393">
      <w:pPr>
        <w:spacing w:after="0" w:line="240" w:lineRule="auto"/>
        <w:jc w:val="both"/>
        <w:rPr>
          <w:rFonts w:ascii="Times New Roman" w:eastAsia="Times New Roman" w:hAnsi="Times New Roman"/>
          <w:color w:val="000000"/>
        </w:rPr>
      </w:pPr>
    </w:p>
    <w:p w14:paraId="64153CBB" w14:textId="77777777" w:rsidR="00E14393" w:rsidRPr="00B93FFD" w:rsidRDefault="00E14393" w:rsidP="00E14393">
      <w:pPr>
        <w:spacing w:after="0" w:line="240" w:lineRule="auto"/>
        <w:jc w:val="both"/>
        <w:rPr>
          <w:rFonts w:ascii="Times New Roman" w:eastAsia="Times New Roman" w:hAnsi="Times New Roman"/>
          <w:color w:val="000000"/>
          <w:u w:val="single"/>
        </w:rPr>
      </w:pPr>
    </w:p>
    <w:p w14:paraId="1DC7B644"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b/>
          <w:color w:val="000000"/>
        </w:rPr>
      </w:pPr>
      <w:r w:rsidRPr="00B93FFD">
        <w:rPr>
          <w:rFonts w:ascii="Times New Roman" w:eastAsia="Times New Roman" w:hAnsi="Times New Roman"/>
          <w:b/>
          <w:color w:val="000000"/>
          <w:highlight w:val="lightGray"/>
        </w:rPr>
        <w:t>4.</w:t>
      </w:r>
      <w:r w:rsidRPr="00B93FFD">
        <w:rPr>
          <w:rFonts w:ascii="Times New Roman" w:eastAsia="Times New Roman" w:hAnsi="Times New Roman"/>
          <w:b/>
          <w:color w:val="000000"/>
        </w:rPr>
        <w:tab/>
        <w:t>INDIKĀCIJA(-S)</w:t>
      </w:r>
    </w:p>
    <w:p w14:paraId="11A80A80"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76A78206"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Jauktas zemāk minēto nematožu un cestožu invāzijas ārstēšanai:</w:t>
      </w:r>
    </w:p>
    <w:p w14:paraId="133422DC"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Apaļtārpi:</w:t>
      </w:r>
    </w:p>
    <w:p w14:paraId="5229FD01" w14:textId="77777777" w:rsidR="00E14393" w:rsidRPr="00B93FFD" w:rsidRDefault="00E14393" w:rsidP="00E14393">
      <w:pPr>
        <w:spacing w:after="0" w:line="240" w:lineRule="auto"/>
        <w:jc w:val="both"/>
        <w:rPr>
          <w:rFonts w:ascii="Times New Roman" w:eastAsia="Times New Roman" w:hAnsi="Times New Roman"/>
          <w:i/>
          <w:color w:val="000000"/>
        </w:rPr>
      </w:pPr>
      <w:r w:rsidRPr="00B93FFD">
        <w:rPr>
          <w:rFonts w:ascii="Times New Roman" w:eastAsia="Times New Roman" w:hAnsi="Times New Roman"/>
          <w:color w:val="000000"/>
        </w:rPr>
        <w:t>Cērmes (pieauguši un nenobriedušas formas):</w:t>
      </w:r>
      <w:r w:rsidRPr="00B93FFD">
        <w:rPr>
          <w:rFonts w:ascii="Times New Roman" w:eastAsia="Times New Roman" w:hAnsi="Times New Roman"/>
          <w:i/>
          <w:color w:val="000000"/>
        </w:rPr>
        <w:t xml:space="preserve"> Toxocara canis, Toxascaris leonina.</w:t>
      </w:r>
    </w:p>
    <w:p w14:paraId="2FDBFA36" w14:textId="322CA2C1" w:rsidR="00E14393" w:rsidRPr="00B93FFD" w:rsidRDefault="00E14393" w:rsidP="00E14393">
      <w:pPr>
        <w:tabs>
          <w:tab w:val="left" w:pos="720"/>
        </w:tabs>
        <w:autoSpaceDE w:val="0"/>
        <w:autoSpaceDN w:val="0"/>
        <w:spacing w:after="0" w:line="240" w:lineRule="auto"/>
        <w:ind w:left="5670" w:hanging="5670"/>
        <w:jc w:val="both"/>
        <w:rPr>
          <w:rFonts w:ascii="Times New Roman" w:eastAsia="Times New Roman" w:hAnsi="Times New Roman"/>
          <w:i/>
        </w:rPr>
      </w:pPr>
      <w:proofErr w:type="spellStart"/>
      <w:r w:rsidRPr="00B93FFD">
        <w:rPr>
          <w:rFonts w:ascii="Times New Roman" w:eastAsia="Times New Roman" w:hAnsi="Times New Roman"/>
          <w:color w:val="000000"/>
        </w:rPr>
        <w:t>Āķtārpi</w:t>
      </w:r>
      <w:proofErr w:type="spellEnd"/>
      <w:r w:rsidRPr="00B93FFD">
        <w:rPr>
          <w:rFonts w:ascii="Times New Roman" w:eastAsia="Times New Roman" w:hAnsi="Times New Roman"/>
          <w:color w:val="000000"/>
        </w:rPr>
        <w:t xml:space="preserve"> (pieauguši):                                       </w:t>
      </w:r>
      <w:r w:rsidR="00B67662">
        <w:rPr>
          <w:rFonts w:ascii="Times New Roman" w:eastAsia="Times New Roman" w:hAnsi="Times New Roman"/>
          <w:color w:val="000000"/>
        </w:rPr>
        <w:t xml:space="preserve">  </w:t>
      </w:r>
      <w:proofErr w:type="spellStart"/>
      <w:r w:rsidRPr="00B93FFD">
        <w:rPr>
          <w:rFonts w:ascii="Times New Roman" w:eastAsia="Times New Roman" w:hAnsi="Times New Roman"/>
          <w:i/>
        </w:rPr>
        <w:t>Uncinaria</w:t>
      </w:r>
      <w:proofErr w:type="spellEnd"/>
      <w:r w:rsidRPr="00B93FFD">
        <w:rPr>
          <w:rFonts w:ascii="Times New Roman" w:eastAsia="Times New Roman" w:hAnsi="Times New Roman"/>
          <w:i/>
        </w:rPr>
        <w:t xml:space="preserve"> </w:t>
      </w:r>
      <w:proofErr w:type="spellStart"/>
      <w:r w:rsidRPr="00B93FFD">
        <w:rPr>
          <w:rFonts w:ascii="Times New Roman" w:eastAsia="Times New Roman" w:hAnsi="Times New Roman"/>
          <w:i/>
        </w:rPr>
        <w:t>stenocephala</w:t>
      </w:r>
      <w:proofErr w:type="spellEnd"/>
      <w:r w:rsidRPr="00B93FFD">
        <w:rPr>
          <w:rFonts w:ascii="Times New Roman" w:eastAsia="Times New Roman" w:hAnsi="Times New Roman"/>
          <w:i/>
        </w:rPr>
        <w:t xml:space="preserve">, </w:t>
      </w:r>
      <w:proofErr w:type="spellStart"/>
      <w:r w:rsidRPr="00B93FFD">
        <w:rPr>
          <w:rFonts w:ascii="Times New Roman" w:eastAsia="Times New Roman" w:hAnsi="Times New Roman"/>
          <w:i/>
        </w:rPr>
        <w:t>Ancylostoma</w:t>
      </w:r>
      <w:proofErr w:type="spellEnd"/>
      <w:r w:rsidRPr="00B93FFD">
        <w:rPr>
          <w:rFonts w:ascii="Times New Roman" w:eastAsia="Times New Roman" w:hAnsi="Times New Roman"/>
          <w:i/>
        </w:rPr>
        <w:t xml:space="preserve"> </w:t>
      </w:r>
      <w:proofErr w:type="spellStart"/>
      <w:r w:rsidRPr="00B93FFD">
        <w:rPr>
          <w:rFonts w:ascii="Times New Roman" w:eastAsia="Times New Roman" w:hAnsi="Times New Roman"/>
          <w:i/>
        </w:rPr>
        <w:t>caninum</w:t>
      </w:r>
      <w:proofErr w:type="spellEnd"/>
      <w:r w:rsidRPr="00B93FFD">
        <w:rPr>
          <w:rFonts w:ascii="Times New Roman" w:eastAsia="Times New Roman" w:hAnsi="Times New Roman"/>
          <w:i/>
        </w:rPr>
        <w:t xml:space="preserve">. </w:t>
      </w:r>
    </w:p>
    <w:p w14:paraId="251AC435" w14:textId="756C8F51" w:rsidR="00E14393" w:rsidRPr="00B93FFD" w:rsidRDefault="00E14393" w:rsidP="00E14393">
      <w:pPr>
        <w:tabs>
          <w:tab w:val="left" w:pos="720"/>
        </w:tabs>
        <w:autoSpaceDE w:val="0"/>
        <w:autoSpaceDN w:val="0"/>
        <w:spacing w:after="0" w:line="240" w:lineRule="auto"/>
        <w:jc w:val="both"/>
        <w:rPr>
          <w:rFonts w:ascii="Times New Roman" w:eastAsia="Times New Roman" w:hAnsi="Times New Roman"/>
        </w:rPr>
      </w:pPr>
      <w:proofErr w:type="spellStart"/>
      <w:r w:rsidRPr="00B93FFD">
        <w:rPr>
          <w:rFonts w:ascii="Times New Roman" w:eastAsia="Times New Roman" w:hAnsi="Times New Roman"/>
        </w:rPr>
        <w:t>Matgalvji</w:t>
      </w:r>
      <w:proofErr w:type="spellEnd"/>
      <w:r w:rsidRPr="00B93FFD">
        <w:rPr>
          <w:rFonts w:ascii="Times New Roman" w:eastAsia="Times New Roman" w:hAnsi="Times New Roman"/>
        </w:rPr>
        <w:t xml:space="preserve"> </w:t>
      </w:r>
      <w:r w:rsidRPr="00B93FFD">
        <w:rPr>
          <w:rFonts w:ascii="Times New Roman" w:eastAsia="Times New Roman" w:hAnsi="Times New Roman"/>
          <w:color w:val="000000"/>
        </w:rPr>
        <w:t>(pieauguši):</w:t>
      </w:r>
      <w:r w:rsidRPr="00B93FFD">
        <w:rPr>
          <w:rFonts w:ascii="Times New Roman" w:eastAsia="Times New Roman" w:hAnsi="Times New Roman"/>
          <w:color w:val="000000"/>
        </w:rPr>
        <w:tab/>
      </w:r>
      <w:r w:rsidRPr="00B93FFD">
        <w:rPr>
          <w:rFonts w:ascii="Times New Roman" w:eastAsia="Times New Roman" w:hAnsi="Times New Roman"/>
          <w:color w:val="000000"/>
        </w:rPr>
        <w:tab/>
      </w:r>
      <w:r w:rsidRPr="00B93FFD">
        <w:rPr>
          <w:rFonts w:ascii="Times New Roman" w:eastAsia="Times New Roman" w:hAnsi="Times New Roman"/>
          <w:color w:val="000000"/>
        </w:rPr>
        <w:tab/>
        <w:t xml:space="preserve">        </w:t>
      </w:r>
      <w:proofErr w:type="spellStart"/>
      <w:r w:rsidRPr="00B93FFD">
        <w:rPr>
          <w:rFonts w:ascii="Times New Roman" w:eastAsia="Times New Roman" w:hAnsi="Times New Roman"/>
          <w:i/>
        </w:rPr>
        <w:t>Trichuris</w:t>
      </w:r>
      <w:proofErr w:type="spellEnd"/>
      <w:r w:rsidRPr="00B93FFD">
        <w:rPr>
          <w:rFonts w:ascii="Times New Roman" w:eastAsia="Times New Roman" w:hAnsi="Times New Roman"/>
          <w:i/>
        </w:rPr>
        <w:t xml:space="preserve"> </w:t>
      </w:r>
      <w:proofErr w:type="spellStart"/>
      <w:r w:rsidRPr="00B93FFD">
        <w:rPr>
          <w:rFonts w:ascii="Times New Roman" w:eastAsia="Times New Roman" w:hAnsi="Times New Roman"/>
          <w:i/>
        </w:rPr>
        <w:t>vulpis</w:t>
      </w:r>
      <w:proofErr w:type="spellEnd"/>
      <w:r w:rsidRPr="00B93FFD">
        <w:rPr>
          <w:rFonts w:ascii="Times New Roman" w:eastAsia="Times New Roman" w:hAnsi="Times New Roman"/>
          <w:i/>
        </w:rPr>
        <w:t>.</w:t>
      </w:r>
    </w:p>
    <w:p w14:paraId="0EE5EFE3" w14:textId="77777777" w:rsidR="00E14393" w:rsidRPr="00B93FFD" w:rsidRDefault="00E14393" w:rsidP="00E14393">
      <w:pPr>
        <w:tabs>
          <w:tab w:val="left" w:pos="720"/>
        </w:tabs>
        <w:autoSpaceDE w:val="0"/>
        <w:autoSpaceDN w:val="0"/>
        <w:spacing w:after="0" w:line="240" w:lineRule="auto"/>
        <w:jc w:val="both"/>
        <w:rPr>
          <w:rFonts w:ascii="Times New Roman" w:eastAsia="Times New Roman" w:hAnsi="Times New Roman"/>
        </w:rPr>
      </w:pPr>
    </w:p>
    <w:p w14:paraId="2ED096EA" w14:textId="05FE7E74" w:rsidR="00E14393" w:rsidRPr="00B93FFD" w:rsidRDefault="00E14393" w:rsidP="00E14393">
      <w:pPr>
        <w:tabs>
          <w:tab w:val="left" w:pos="720"/>
        </w:tabs>
        <w:autoSpaceDE w:val="0"/>
        <w:autoSpaceDN w:val="0"/>
        <w:spacing w:after="0" w:line="240" w:lineRule="auto"/>
        <w:jc w:val="both"/>
        <w:rPr>
          <w:rFonts w:ascii="Times New Roman" w:eastAsia="Times New Roman" w:hAnsi="Times New Roman"/>
          <w:i/>
        </w:rPr>
      </w:pPr>
      <w:r w:rsidRPr="00B93FFD">
        <w:rPr>
          <w:rFonts w:ascii="Times New Roman" w:eastAsia="Times New Roman" w:hAnsi="Times New Roman"/>
        </w:rPr>
        <w:t xml:space="preserve">Lenteņi (pieauguši un nenobriedušas formas): </w:t>
      </w:r>
      <w:proofErr w:type="spellStart"/>
      <w:r w:rsidRPr="00B93FFD">
        <w:rPr>
          <w:rFonts w:ascii="Times New Roman" w:eastAsia="Times New Roman" w:hAnsi="Times New Roman"/>
          <w:i/>
        </w:rPr>
        <w:t>Echinococcus</w:t>
      </w:r>
      <w:proofErr w:type="spellEnd"/>
      <w:r w:rsidRPr="00B93FFD">
        <w:rPr>
          <w:rFonts w:ascii="Times New Roman" w:eastAsia="Times New Roman" w:hAnsi="Times New Roman"/>
          <w:i/>
        </w:rPr>
        <w:t xml:space="preserve"> </w:t>
      </w:r>
      <w:proofErr w:type="spellStart"/>
      <w:r w:rsidRPr="00B93FFD">
        <w:rPr>
          <w:rFonts w:ascii="Times New Roman" w:eastAsia="Times New Roman" w:hAnsi="Times New Roman"/>
          <w:i/>
        </w:rPr>
        <w:t>granulosus</w:t>
      </w:r>
      <w:proofErr w:type="spellEnd"/>
      <w:r w:rsidRPr="00B93FFD">
        <w:rPr>
          <w:rFonts w:ascii="Times New Roman" w:eastAsia="Times New Roman" w:hAnsi="Times New Roman"/>
          <w:i/>
        </w:rPr>
        <w:t xml:space="preserve">, </w:t>
      </w:r>
      <w:proofErr w:type="spellStart"/>
      <w:r w:rsidRPr="00B93FFD">
        <w:rPr>
          <w:rFonts w:ascii="Times New Roman" w:eastAsia="Times New Roman" w:hAnsi="Times New Roman"/>
          <w:i/>
        </w:rPr>
        <w:t>Echinococcus</w:t>
      </w:r>
      <w:proofErr w:type="spellEnd"/>
      <w:r w:rsidRPr="00B93FFD">
        <w:rPr>
          <w:rFonts w:ascii="Times New Roman" w:eastAsia="Times New Roman" w:hAnsi="Times New Roman"/>
          <w:i/>
        </w:rPr>
        <w:t xml:space="preserve"> </w:t>
      </w:r>
      <w:proofErr w:type="spellStart"/>
      <w:r w:rsidRPr="00B93FFD">
        <w:rPr>
          <w:rFonts w:ascii="Times New Roman" w:eastAsia="Times New Roman" w:hAnsi="Times New Roman"/>
          <w:i/>
        </w:rPr>
        <w:t>multilocularis</w:t>
      </w:r>
      <w:proofErr w:type="spellEnd"/>
      <w:r w:rsidRPr="00B93FFD">
        <w:rPr>
          <w:rFonts w:ascii="Times New Roman" w:eastAsia="Times New Roman" w:hAnsi="Times New Roman"/>
          <w:i/>
        </w:rPr>
        <w:t>,</w:t>
      </w:r>
      <w:r w:rsidR="00B67662">
        <w:rPr>
          <w:rFonts w:ascii="Times New Roman" w:eastAsia="Times New Roman" w:hAnsi="Times New Roman"/>
          <w:i/>
        </w:rPr>
        <w:t xml:space="preserve"> </w:t>
      </w:r>
      <w:proofErr w:type="spellStart"/>
      <w:r w:rsidRPr="00B93FFD">
        <w:rPr>
          <w:rFonts w:ascii="Times New Roman" w:eastAsia="Times New Roman" w:hAnsi="Times New Roman"/>
          <w:i/>
        </w:rPr>
        <w:t>Dipylidium</w:t>
      </w:r>
      <w:proofErr w:type="spellEnd"/>
      <w:r w:rsidRPr="00B93FFD">
        <w:rPr>
          <w:rFonts w:ascii="Times New Roman" w:eastAsia="Times New Roman" w:hAnsi="Times New Roman"/>
          <w:i/>
        </w:rPr>
        <w:t xml:space="preserve"> </w:t>
      </w:r>
      <w:proofErr w:type="spellStart"/>
      <w:r w:rsidRPr="00B93FFD">
        <w:rPr>
          <w:rFonts w:ascii="Times New Roman" w:eastAsia="Times New Roman" w:hAnsi="Times New Roman"/>
          <w:i/>
        </w:rPr>
        <w:t>caninum</w:t>
      </w:r>
      <w:proofErr w:type="spellEnd"/>
      <w:r w:rsidRPr="00B93FFD">
        <w:rPr>
          <w:rFonts w:ascii="Times New Roman" w:eastAsia="Times New Roman" w:hAnsi="Times New Roman"/>
          <w:i/>
        </w:rPr>
        <w:t xml:space="preserve">, </w:t>
      </w:r>
      <w:proofErr w:type="spellStart"/>
      <w:r w:rsidRPr="00B93FFD">
        <w:rPr>
          <w:rFonts w:ascii="Times New Roman" w:eastAsia="Times New Roman" w:hAnsi="Times New Roman"/>
          <w:i/>
        </w:rPr>
        <w:t>Taenia</w:t>
      </w:r>
      <w:proofErr w:type="spellEnd"/>
      <w:r w:rsidRPr="00B93FFD">
        <w:rPr>
          <w:rFonts w:ascii="Times New Roman" w:eastAsia="Times New Roman" w:hAnsi="Times New Roman"/>
          <w:i/>
        </w:rPr>
        <w:t xml:space="preserve"> </w:t>
      </w:r>
      <w:proofErr w:type="spellStart"/>
      <w:r w:rsidRPr="00B67662">
        <w:rPr>
          <w:rFonts w:ascii="Times New Roman" w:eastAsia="Times New Roman" w:hAnsi="Times New Roman"/>
          <w:i/>
          <w:iCs/>
        </w:rPr>
        <w:t>spp</w:t>
      </w:r>
      <w:proofErr w:type="spellEnd"/>
      <w:r w:rsidRPr="00B93FFD">
        <w:rPr>
          <w:rFonts w:ascii="Times New Roman" w:eastAsia="Times New Roman" w:hAnsi="Times New Roman"/>
        </w:rPr>
        <w:t>.</w:t>
      </w:r>
      <w:r w:rsidRPr="00B93FFD">
        <w:rPr>
          <w:rFonts w:ascii="Times New Roman" w:eastAsia="Times New Roman" w:hAnsi="Times New Roman"/>
          <w:i/>
        </w:rPr>
        <w:t xml:space="preserve">, Mesocestoides </w:t>
      </w:r>
      <w:r w:rsidRPr="00B67662">
        <w:rPr>
          <w:rFonts w:ascii="Times New Roman" w:eastAsia="Times New Roman" w:hAnsi="Times New Roman"/>
          <w:i/>
          <w:iCs/>
        </w:rPr>
        <w:t>spp</w:t>
      </w:r>
      <w:r w:rsidRPr="00B93FFD">
        <w:rPr>
          <w:rFonts w:ascii="Times New Roman" w:eastAsia="Times New Roman" w:hAnsi="Times New Roman"/>
        </w:rPr>
        <w:t>.</w:t>
      </w:r>
    </w:p>
    <w:p w14:paraId="133A5DE9" w14:textId="77777777" w:rsidR="00E14393" w:rsidRPr="00B93FFD" w:rsidRDefault="00E14393" w:rsidP="00E14393">
      <w:pPr>
        <w:tabs>
          <w:tab w:val="left" w:pos="720"/>
        </w:tabs>
        <w:autoSpaceDE w:val="0"/>
        <w:autoSpaceDN w:val="0"/>
        <w:spacing w:after="0" w:line="240" w:lineRule="auto"/>
        <w:jc w:val="both"/>
        <w:rPr>
          <w:rFonts w:ascii="Times New Roman" w:eastAsia="Times New Roman" w:hAnsi="Times New Roman"/>
          <w:i/>
        </w:rPr>
      </w:pPr>
      <w:r w:rsidRPr="00B93FFD">
        <w:rPr>
          <w:rFonts w:ascii="Times New Roman" w:eastAsia="Times New Roman" w:hAnsi="Times New Roman"/>
          <w:i/>
        </w:rPr>
        <w:t xml:space="preserve">                                                  </w:t>
      </w:r>
      <w:r w:rsidRPr="00B93FFD">
        <w:rPr>
          <w:rFonts w:ascii="Times New Roman" w:eastAsia="Times New Roman" w:hAnsi="Times New Roman"/>
          <w:i/>
        </w:rPr>
        <w:tab/>
      </w:r>
      <w:r w:rsidRPr="00B93FFD">
        <w:rPr>
          <w:rFonts w:ascii="Times New Roman" w:eastAsia="Times New Roman" w:hAnsi="Times New Roman"/>
          <w:i/>
        </w:rPr>
        <w:tab/>
      </w:r>
      <w:r w:rsidRPr="00B93FFD">
        <w:rPr>
          <w:rFonts w:ascii="Times New Roman" w:eastAsia="Times New Roman" w:hAnsi="Times New Roman"/>
          <w:i/>
        </w:rPr>
        <w:tab/>
      </w:r>
      <w:r w:rsidRPr="00B93FFD">
        <w:rPr>
          <w:rFonts w:ascii="Times New Roman" w:eastAsia="Times New Roman" w:hAnsi="Times New Roman"/>
          <w:i/>
        </w:rPr>
        <w:tab/>
      </w:r>
      <w:r w:rsidRPr="00B93FFD">
        <w:rPr>
          <w:rFonts w:ascii="Times New Roman" w:eastAsia="Times New Roman" w:hAnsi="Times New Roman"/>
          <w:i/>
        </w:rPr>
        <w:tab/>
      </w:r>
      <w:r w:rsidRPr="00B93FFD">
        <w:rPr>
          <w:rFonts w:ascii="Times New Roman" w:eastAsia="Times New Roman" w:hAnsi="Times New Roman"/>
          <w:i/>
        </w:rPr>
        <w:tab/>
      </w:r>
      <w:r w:rsidRPr="00B93FFD">
        <w:rPr>
          <w:rFonts w:ascii="Times New Roman" w:eastAsia="Times New Roman" w:hAnsi="Times New Roman"/>
          <w:i/>
        </w:rPr>
        <w:tab/>
        <w:t xml:space="preserve"> </w:t>
      </w:r>
    </w:p>
    <w:p w14:paraId="41317163" w14:textId="77777777" w:rsidR="00E14393" w:rsidRPr="00B93FFD" w:rsidRDefault="00E14393" w:rsidP="00E14393">
      <w:pPr>
        <w:tabs>
          <w:tab w:val="left" w:pos="720"/>
        </w:tabs>
        <w:autoSpaceDE w:val="0"/>
        <w:autoSpaceDN w:val="0"/>
        <w:spacing w:after="0" w:line="240" w:lineRule="auto"/>
        <w:jc w:val="both"/>
        <w:rPr>
          <w:rFonts w:ascii="Times New Roman" w:eastAsia="Times New Roman" w:hAnsi="Times New Roman"/>
        </w:rPr>
      </w:pPr>
      <w:r w:rsidRPr="00B93FFD">
        <w:rPr>
          <w:rFonts w:ascii="Times New Roman" w:eastAsia="Times New Roman" w:hAnsi="Times New Roman"/>
          <w:color w:val="000000"/>
        </w:rPr>
        <w:t xml:space="preserve">Invāzijas ārstēšanai, ko ierosina protozoji </w:t>
      </w:r>
      <w:r w:rsidRPr="00B93FFD">
        <w:rPr>
          <w:rFonts w:ascii="Times New Roman" w:eastAsia="Times New Roman" w:hAnsi="Times New Roman"/>
          <w:i/>
          <w:color w:val="000000"/>
        </w:rPr>
        <w:t>Giardia</w:t>
      </w:r>
      <w:r w:rsidRPr="00B93FFD">
        <w:rPr>
          <w:rFonts w:ascii="Times New Roman" w:eastAsia="Times New Roman" w:hAnsi="Times New Roman"/>
          <w:color w:val="000000"/>
        </w:rPr>
        <w:t xml:space="preserve"> spp. </w:t>
      </w:r>
      <w:r w:rsidRPr="00B93FFD">
        <w:rPr>
          <w:rFonts w:ascii="Times New Roman" w:eastAsia="Times New Roman" w:hAnsi="Times New Roman"/>
        </w:rPr>
        <w:t>kucēniem un pieaugušiem suņiem.</w:t>
      </w:r>
    </w:p>
    <w:p w14:paraId="20D7B038"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0D90123D"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6B1862FB"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r w:rsidRPr="00B93FFD">
        <w:rPr>
          <w:rFonts w:ascii="Times New Roman" w:eastAsia="Times New Roman" w:hAnsi="Times New Roman"/>
          <w:b/>
          <w:color w:val="000000"/>
          <w:highlight w:val="lightGray"/>
        </w:rPr>
        <w:t>5.</w:t>
      </w:r>
      <w:r w:rsidRPr="00B93FFD">
        <w:rPr>
          <w:rFonts w:ascii="Times New Roman" w:eastAsia="Times New Roman" w:hAnsi="Times New Roman"/>
          <w:b/>
          <w:color w:val="000000"/>
        </w:rPr>
        <w:tab/>
        <w:t>KONTRINDIKĀCIJAS</w:t>
      </w:r>
    </w:p>
    <w:p w14:paraId="219A3990"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349EFEE3"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Nelietot gadījumos, ja konstatēta pastiprināta jutība pret aktīvajām vielām vai pret kādu no palīgvielām.</w:t>
      </w:r>
      <w:bookmarkStart w:id="0" w:name="_GoBack"/>
      <w:bookmarkEnd w:id="0"/>
    </w:p>
    <w:p w14:paraId="52A51F6F"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lastRenderedPageBreak/>
        <w:t xml:space="preserve">Nelietot kucēm grūsnības pirmo divu trimestru laikā (skatīt </w:t>
      </w:r>
      <w:r w:rsidRPr="00B93FFD">
        <w:rPr>
          <w:rFonts w:ascii="Times New Roman" w:eastAsia="Times New Roman" w:hAnsi="Times New Roman"/>
          <w:color w:val="000000"/>
          <w:highlight w:val="lightGray"/>
        </w:rPr>
        <w:t xml:space="preserve">12. </w:t>
      </w:r>
      <w:r w:rsidRPr="00B93FFD">
        <w:rPr>
          <w:rFonts w:ascii="Times New Roman" w:eastAsia="Times New Roman" w:hAnsi="Times New Roman"/>
          <w:color w:val="000000"/>
        </w:rPr>
        <w:t>sadaļu “Īpaši brīdinājumi”).</w:t>
      </w:r>
    </w:p>
    <w:p w14:paraId="23B3BE6A"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419CC139"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35AD83F2"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b/>
          <w:color w:val="000000"/>
        </w:rPr>
      </w:pPr>
      <w:r w:rsidRPr="00B93FFD">
        <w:rPr>
          <w:rFonts w:ascii="Times New Roman" w:eastAsia="Times New Roman" w:hAnsi="Times New Roman"/>
          <w:b/>
          <w:color w:val="000000"/>
          <w:highlight w:val="lightGray"/>
        </w:rPr>
        <w:t>6.</w:t>
      </w:r>
      <w:r w:rsidRPr="00B93FFD">
        <w:rPr>
          <w:rFonts w:ascii="Times New Roman" w:eastAsia="Times New Roman" w:hAnsi="Times New Roman"/>
          <w:b/>
          <w:color w:val="000000"/>
        </w:rPr>
        <w:tab/>
        <w:t>IESPĒJAMĀS BLAKUSPARĀDĪBAS</w:t>
      </w:r>
    </w:p>
    <w:p w14:paraId="5CABA564"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3FF4DC4C" w14:textId="77777777" w:rsidR="00E14393" w:rsidRPr="00B93FFD" w:rsidRDefault="00E14393" w:rsidP="00E14393">
      <w:pPr>
        <w:tabs>
          <w:tab w:val="left" w:pos="0"/>
        </w:tabs>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Ļoti retos gadījumos var novērot vieglus un pārejošus gremošanas trakta darbības traucējumus (piemēram, vemšanu). </w:t>
      </w:r>
    </w:p>
    <w:p w14:paraId="2FB429D3" w14:textId="77777777" w:rsidR="00E14393" w:rsidRPr="00B93FFD" w:rsidRDefault="00E14393" w:rsidP="00E14393">
      <w:pPr>
        <w:spacing w:after="0" w:line="240" w:lineRule="auto"/>
        <w:jc w:val="both"/>
        <w:rPr>
          <w:rFonts w:ascii="Times New Roman" w:eastAsia="Times New Roman" w:hAnsi="Times New Roman"/>
        </w:rPr>
      </w:pPr>
    </w:p>
    <w:p w14:paraId="2DB551CE" w14:textId="77777777" w:rsidR="00E14393" w:rsidRPr="00B93FFD" w:rsidRDefault="00E14393" w:rsidP="00E14393">
      <w:pPr>
        <w:spacing w:after="0" w:line="240" w:lineRule="auto"/>
        <w:jc w:val="both"/>
        <w:rPr>
          <w:rFonts w:ascii="Times New Roman" w:eastAsia="Times New Roman" w:hAnsi="Times New Roman"/>
        </w:rPr>
      </w:pPr>
      <w:r w:rsidRPr="00B93FFD">
        <w:rPr>
          <w:rFonts w:ascii="Times New Roman" w:eastAsia="Times New Roman" w:hAnsi="Times New Roman"/>
        </w:rPr>
        <w:t>Veterināro zāļu blakusparādību sastopamības biežums norādīts sekojošā secībā:</w:t>
      </w:r>
    </w:p>
    <w:p w14:paraId="2010109F" w14:textId="77777777" w:rsidR="00E14393" w:rsidRPr="00B93FFD" w:rsidRDefault="00E14393" w:rsidP="00E14393">
      <w:pPr>
        <w:spacing w:after="0" w:line="240" w:lineRule="auto"/>
        <w:jc w:val="both"/>
        <w:rPr>
          <w:rFonts w:ascii="Times New Roman" w:eastAsia="Times New Roman" w:hAnsi="Times New Roman"/>
        </w:rPr>
      </w:pPr>
      <w:r w:rsidRPr="00B93FFD">
        <w:rPr>
          <w:rFonts w:ascii="Times New Roman" w:eastAsia="Times New Roman" w:hAnsi="Times New Roman"/>
        </w:rPr>
        <w:t>- ļoti reti (mazāk nekā 1 dzīvniekam no 10000 ārstētajiem dzīvniekiem, ieskaitot atsevišķus ziņojumus).</w:t>
      </w:r>
    </w:p>
    <w:p w14:paraId="235A73DD" w14:textId="77777777" w:rsidR="00E14393" w:rsidRPr="00B93FFD" w:rsidRDefault="00E14393" w:rsidP="00E14393">
      <w:pPr>
        <w:spacing w:after="0" w:line="240" w:lineRule="auto"/>
        <w:jc w:val="both"/>
        <w:rPr>
          <w:rFonts w:ascii="Times New Roman" w:eastAsia="Times New Roman" w:hAnsi="Times New Roman"/>
          <w:color w:val="000000"/>
        </w:rPr>
      </w:pPr>
    </w:p>
    <w:p w14:paraId="601B9F6E" w14:textId="330C9372" w:rsidR="00E14393" w:rsidRPr="00B93FFD" w:rsidRDefault="00E14393" w:rsidP="00E14393">
      <w:pPr>
        <w:spacing w:after="0" w:line="240" w:lineRule="auto"/>
        <w:ind w:right="-2"/>
        <w:jc w:val="both"/>
        <w:rPr>
          <w:rFonts w:ascii="Times New Roman" w:eastAsia="Times New Roman" w:hAnsi="Times New Roman"/>
          <w:color w:val="000000"/>
        </w:rPr>
      </w:pPr>
      <w:r w:rsidRPr="00B93FFD">
        <w:rPr>
          <w:rFonts w:ascii="Times New Roman" w:eastAsia="Times New Roman" w:hAnsi="Times New Roman"/>
          <w:color w:val="000000"/>
        </w:rPr>
        <w:t xml:space="preserve">Ja novērojat jebkuras blakusparādības arī tās, kas nav minētas šajā lietošanas instrukcijā, vai </w:t>
      </w:r>
      <w:r w:rsidR="00B67662">
        <w:rPr>
          <w:rFonts w:ascii="Times New Roman" w:eastAsia="Times New Roman" w:hAnsi="Times New Roman"/>
          <w:color w:val="000000"/>
        </w:rPr>
        <w:t xml:space="preserve"> uzskatāt</w:t>
      </w:r>
      <w:r w:rsidRPr="00B93FFD">
        <w:rPr>
          <w:rFonts w:ascii="Times New Roman" w:eastAsia="Times New Roman" w:hAnsi="Times New Roman"/>
          <w:color w:val="000000"/>
        </w:rPr>
        <w:t>, ka zāles nav iedarbojušās, lūdzu, informējiet par to savu veterinārārstu.</w:t>
      </w:r>
    </w:p>
    <w:p w14:paraId="1EC01701" w14:textId="77777777" w:rsidR="00E14393" w:rsidRPr="00B93FFD" w:rsidRDefault="00E14393" w:rsidP="00E14393">
      <w:pPr>
        <w:spacing w:after="0" w:line="240" w:lineRule="auto"/>
        <w:jc w:val="both"/>
        <w:rPr>
          <w:rFonts w:ascii="Times New Roman" w:eastAsia="Times New Roman" w:hAnsi="Times New Roman"/>
        </w:rPr>
      </w:pPr>
    </w:p>
    <w:p w14:paraId="4A3F453F"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p>
    <w:p w14:paraId="78507174"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r w:rsidRPr="00B93FFD">
        <w:rPr>
          <w:rFonts w:ascii="Times New Roman" w:eastAsia="Times New Roman" w:hAnsi="Times New Roman"/>
          <w:b/>
          <w:color w:val="000000"/>
          <w:highlight w:val="lightGray"/>
        </w:rPr>
        <w:t>7.</w:t>
      </w:r>
      <w:r w:rsidRPr="00B93FFD">
        <w:rPr>
          <w:rFonts w:ascii="Times New Roman" w:eastAsia="Times New Roman" w:hAnsi="Times New Roman"/>
          <w:b/>
          <w:color w:val="000000"/>
        </w:rPr>
        <w:tab/>
        <w:t>MĒRĶA SUGAS</w:t>
      </w:r>
    </w:p>
    <w:p w14:paraId="411D5ABD" w14:textId="77777777" w:rsidR="00E14393" w:rsidRPr="00B93FFD" w:rsidRDefault="00E14393" w:rsidP="00E14393">
      <w:pPr>
        <w:spacing w:after="0" w:line="240" w:lineRule="auto"/>
        <w:jc w:val="both"/>
        <w:rPr>
          <w:rFonts w:ascii="Times New Roman" w:eastAsia="Times New Roman" w:hAnsi="Times New Roman"/>
          <w:color w:val="000000"/>
        </w:rPr>
      </w:pPr>
    </w:p>
    <w:p w14:paraId="1E2ED835" w14:textId="77777777" w:rsidR="00E14393" w:rsidRPr="00B93FFD" w:rsidRDefault="00E14393" w:rsidP="00E14393">
      <w:pPr>
        <w:spacing w:after="0" w:line="240" w:lineRule="auto"/>
        <w:ind w:left="567" w:hanging="567"/>
        <w:jc w:val="both"/>
        <w:rPr>
          <w:rFonts w:ascii="Times New Roman" w:eastAsia="Times New Roman" w:hAnsi="Times New Roman"/>
          <w:color w:val="000000"/>
        </w:rPr>
      </w:pPr>
      <w:r w:rsidRPr="00B93FFD">
        <w:rPr>
          <w:rFonts w:ascii="Times New Roman" w:eastAsia="Times New Roman" w:hAnsi="Times New Roman"/>
          <w:color w:val="000000"/>
        </w:rPr>
        <w:t>Suņi.</w:t>
      </w:r>
    </w:p>
    <w:p w14:paraId="0629310A" w14:textId="77777777" w:rsidR="00E14393" w:rsidRPr="00B93FFD" w:rsidRDefault="00E14393" w:rsidP="00E14393">
      <w:pPr>
        <w:spacing w:after="0" w:line="240" w:lineRule="auto"/>
        <w:jc w:val="both"/>
        <w:rPr>
          <w:rFonts w:ascii="Times New Roman" w:eastAsia="Times New Roman" w:hAnsi="Times New Roman"/>
          <w:color w:val="000000"/>
        </w:rPr>
      </w:pPr>
    </w:p>
    <w:p w14:paraId="754B008E"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r w:rsidRPr="00B93FFD">
        <w:rPr>
          <w:rFonts w:ascii="Times New Roman" w:eastAsia="Times New Roman" w:hAnsi="Times New Roman"/>
          <w:b/>
          <w:color w:val="000000"/>
          <w:highlight w:val="lightGray"/>
        </w:rPr>
        <w:t>8.</w:t>
      </w:r>
      <w:r w:rsidRPr="00B93FFD">
        <w:rPr>
          <w:rFonts w:ascii="Times New Roman" w:eastAsia="Times New Roman" w:hAnsi="Times New Roman"/>
          <w:b/>
          <w:color w:val="000000"/>
        </w:rPr>
        <w:tab/>
        <w:t xml:space="preserve">DEVAS ATKARĪBĀ NO DZĪVNIEKU SUGAS, LIETOŠANAS VEIDA UN METODES </w:t>
      </w:r>
    </w:p>
    <w:p w14:paraId="59614311" w14:textId="77777777" w:rsidR="00E14393" w:rsidRPr="00B93FFD" w:rsidRDefault="00E14393" w:rsidP="00E14393">
      <w:pPr>
        <w:spacing w:after="0" w:line="240" w:lineRule="auto"/>
        <w:jc w:val="both"/>
        <w:rPr>
          <w:rFonts w:ascii="Times New Roman" w:eastAsia="Times New Roman" w:hAnsi="Times New Roman"/>
          <w:color w:val="000000"/>
        </w:rPr>
      </w:pPr>
    </w:p>
    <w:p w14:paraId="0356CA35"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Tikai iekšķīgai lietošanai.</w:t>
      </w:r>
    </w:p>
    <w:p w14:paraId="3397FD5D" w14:textId="77777777" w:rsidR="00E14393" w:rsidRPr="00B93FFD" w:rsidRDefault="00E14393" w:rsidP="00E14393">
      <w:pPr>
        <w:spacing w:after="0" w:line="240" w:lineRule="auto"/>
        <w:jc w:val="both"/>
        <w:rPr>
          <w:rFonts w:ascii="Times New Roman" w:eastAsia="Times New Roman" w:hAnsi="Times New Roman"/>
          <w:color w:val="000000"/>
        </w:rPr>
      </w:pPr>
    </w:p>
    <w:p w14:paraId="68DFB5C5" w14:textId="77777777" w:rsidR="00E14393" w:rsidRPr="00B93FFD" w:rsidRDefault="00E14393" w:rsidP="00E14393">
      <w:pPr>
        <w:spacing w:after="0" w:line="240" w:lineRule="auto"/>
        <w:jc w:val="both"/>
        <w:rPr>
          <w:rFonts w:ascii="Times New Roman" w:eastAsia="Times New Roman" w:hAnsi="Times New Roman"/>
          <w:color w:val="000000"/>
          <w:u w:val="single"/>
        </w:rPr>
      </w:pPr>
      <w:r w:rsidRPr="00B93FFD">
        <w:rPr>
          <w:rFonts w:ascii="Times New Roman" w:eastAsia="Times New Roman" w:hAnsi="Times New Roman"/>
          <w:color w:val="000000"/>
          <w:u w:val="single"/>
        </w:rPr>
        <w:t>Devas:</w:t>
      </w:r>
    </w:p>
    <w:p w14:paraId="694D305D"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Suņu ārstēšanai – 1 tablete uz 35 kg ķermeņa svara (15 mg febantela, 14,4 mg pirantela embonāta un 5 mg prazikvantela/kg ķermeņa svara).</w:t>
      </w:r>
    </w:p>
    <w:p w14:paraId="51454BE8" w14:textId="77777777" w:rsidR="00E14393" w:rsidRPr="00B93FFD" w:rsidRDefault="00E14393" w:rsidP="00E14393">
      <w:pPr>
        <w:spacing w:after="0" w:line="240" w:lineRule="auto"/>
        <w:jc w:val="both"/>
        <w:rPr>
          <w:rFonts w:ascii="Times New Roman" w:eastAsia="Times New Roman" w:hAnsi="Times New Roman"/>
          <w:color w:val="000000"/>
          <w:u w:val="single"/>
        </w:rPr>
      </w:pPr>
    </w:p>
    <w:p w14:paraId="6A7DE13D" w14:textId="77777777" w:rsidR="00E14393" w:rsidRPr="00B93FFD" w:rsidRDefault="00E14393" w:rsidP="00E14393">
      <w:pPr>
        <w:spacing w:after="0" w:line="240" w:lineRule="auto"/>
        <w:jc w:val="both"/>
        <w:rPr>
          <w:rFonts w:ascii="Times New Roman" w:eastAsia="Times New Roman" w:hAnsi="Times New Roman"/>
          <w:color w:val="000000"/>
          <w:u w:val="single"/>
        </w:rPr>
      </w:pPr>
      <w:r w:rsidRPr="00B93FFD">
        <w:rPr>
          <w:rFonts w:ascii="Times New Roman" w:eastAsia="Times New Roman" w:hAnsi="Times New Roman"/>
          <w:color w:val="000000"/>
          <w:u w:val="single"/>
        </w:rPr>
        <w:t>Devas ir sekojošas:</w:t>
      </w:r>
    </w:p>
    <w:p w14:paraId="7A36D8D1" w14:textId="77777777" w:rsidR="00E14393" w:rsidRPr="00B93FFD" w:rsidRDefault="00E14393" w:rsidP="00E14393">
      <w:pPr>
        <w:spacing w:after="0" w:line="240" w:lineRule="auto"/>
        <w:jc w:val="both"/>
        <w:rPr>
          <w:rFonts w:ascii="Times New Roman" w:eastAsia="Times New Roman" w:hAnsi="Times New Roman"/>
          <w:color w:val="000000"/>
        </w:rPr>
      </w:pPr>
    </w:p>
    <w:tbl>
      <w:tblPr>
        <w:tblW w:w="591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59"/>
        <w:gridCol w:w="2959"/>
      </w:tblGrid>
      <w:tr w:rsidR="00E14393" w:rsidRPr="00B93FFD" w14:paraId="3CFB934D" w14:textId="77777777" w:rsidTr="00D46348">
        <w:trPr>
          <w:trHeight w:val="261"/>
        </w:trPr>
        <w:tc>
          <w:tcPr>
            <w:tcW w:w="2959" w:type="dxa"/>
          </w:tcPr>
          <w:p w14:paraId="2528CD34" w14:textId="77777777" w:rsidR="00E14393" w:rsidRPr="00B93FFD" w:rsidRDefault="00E14393" w:rsidP="00D46348">
            <w:pPr>
              <w:spacing w:after="0" w:line="240" w:lineRule="auto"/>
              <w:jc w:val="both"/>
              <w:rPr>
                <w:rFonts w:ascii="Times New Roman" w:eastAsia="Times New Roman" w:hAnsi="Times New Roman"/>
              </w:rPr>
            </w:pPr>
            <w:r w:rsidRPr="00B93FFD">
              <w:rPr>
                <w:rFonts w:ascii="Times New Roman" w:eastAsia="Times New Roman" w:hAnsi="Times New Roman"/>
                <w:color w:val="000000"/>
              </w:rPr>
              <w:t>Ķermeņa svars</w:t>
            </w:r>
            <w:r w:rsidRPr="00B93FFD">
              <w:rPr>
                <w:rFonts w:ascii="Times New Roman" w:eastAsia="Times New Roman" w:hAnsi="Times New Roman"/>
              </w:rPr>
              <w:t xml:space="preserve"> (kg)</w:t>
            </w:r>
          </w:p>
        </w:tc>
        <w:tc>
          <w:tcPr>
            <w:tcW w:w="2959" w:type="dxa"/>
          </w:tcPr>
          <w:p w14:paraId="2955005C" w14:textId="77777777" w:rsidR="00E14393" w:rsidRPr="00B93FFD" w:rsidRDefault="00E14393" w:rsidP="00D46348">
            <w:pPr>
              <w:spacing w:after="0" w:line="240" w:lineRule="auto"/>
              <w:jc w:val="both"/>
              <w:rPr>
                <w:rFonts w:ascii="Times New Roman" w:eastAsia="Times New Roman" w:hAnsi="Times New Roman"/>
              </w:rPr>
            </w:pPr>
            <w:r w:rsidRPr="00B93FFD">
              <w:rPr>
                <w:rFonts w:ascii="Times New Roman" w:eastAsia="Times New Roman" w:hAnsi="Times New Roman"/>
              </w:rPr>
              <w:t>Tablešu skaits</w:t>
            </w:r>
          </w:p>
        </w:tc>
      </w:tr>
      <w:tr w:rsidR="00E14393" w:rsidRPr="00B93FFD" w14:paraId="145E08B9" w14:textId="77777777" w:rsidTr="00D46348">
        <w:trPr>
          <w:trHeight w:val="245"/>
        </w:trPr>
        <w:tc>
          <w:tcPr>
            <w:tcW w:w="2959" w:type="dxa"/>
          </w:tcPr>
          <w:p w14:paraId="1A4ECE90" w14:textId="77777777" w:rsidR="00E14393" w:rsidRPr="00B93FFD" w:rsidRDefault="00E14393" w:rsidP="00D46348">
            <w:pPr>
              <w:spacing w:after="0" w:line="240" w:lineRule="auto"/>
              <w:jc w:val="both"/>
              <w:rPr>
                <w:rFonts w:ascii="Times New Roman" w:eastAsia="Times New Roman" w:hAnsi="Times New Roman"/>
                <w:lang w:val="en-GB"/>
              </w:rPr>
            </w:pPr>
            <w:r w:rsidRPr="00B93FFD">
              <w:rPr>
                <w:rFonts w:ascii="Times New Roman" w:eastAsia="Times New Roman" w:hAnsi="Times New Roman"/>
                <w:lang w:val="en-GB"/>
              </w:rPr>
              <w:t>7-17,5</w:t>
            </w:r>
          </w:p>
        </w:tc>
        <w:tc>
          <w:tcPr>
            <w:tcW w:w="2959" w:type="dxa"/>
          </w:tcPr>
          <w:p w14:paraId="5C5718C4" w14:textId="77777777" w:rsidR="00E14393" w:rsidRPr="00B93FFD" w:rsidRDefault="00E14393" w:rsidP="00D46348">
            <w:pPr>
              <w:spacing w:after="0" w:line="240" w:lineRule="auto"/>
              <w:jc w:val="both"/>
              <w:rPr>
                <w:rFonts w:ascii="Times New Roman" w:eastAsia="Times New Roman" w:hAnsi="Times New Roman"/>
              </w:rPr>
            </w:pPr>
            <w:r w:rsidRPr="00B93FFD">
              <w:rPr>
                <w:rFonts w:ascii="Times New Roman" w:eastAsia="Times New Roman" w:hAnsi="Times New Roman"/>
              </w:rPr>
              <w:t>½</w:t>
            </w:r>
          </w:p>
        </w:tc>
      </w:tr>
      <w:tr w:rsidR="00E14393" w:rsidRPr="00B93FFD" w14:paraId="629788F6" w14:textId="77777777" w:rsidTr="00D46348">
        <w:trPr>
          <w:trHeight w:val="261"/>
        </w:trPr>
        <w:tc>
          <w:tcPr>
            <w:tcW w:w="2959" w:type="dxa"/>
          </w:tcPr>
          <w:p w14:paraId="76815BCC" w14:textId="77777777" w:rsidR="00E14393" w:rsidRPr="00B93FFD" w:rsidRDefault="00E14393" w:rsidP="00D46348">
            <w:pPr>
              <w:spacing w:after="0" w:line="240" w:lineRule="auto"/>
              <w:jc w:val="both"/>
              <w:rPr>
                <w:rFonts w:ascii="Times New Roman" w:eastAsia="Times New Roman" w:hAnsi="Times New Roman"/>
                <w:lang w:val="en-GB"/>
              </w:rPr>
            </w:pPr>
            <w:r w:rsidRPr="00B93FFD">
              <w:rPr>
                <w:rFonts w:ascii="Times New Roman" w:eastAsia="Times New Roman" w:hAnsi="Times New Roman"/>
                <w:lang w:val="en-GB"/>
              </w:rPr>
              <w:t>&gt;17,5-35</w:t>
            </w:r>
          </w:p>
        </w:tc>
        <w:tc>
          <w:tcPr>
            <w:tcW w:w="2959" w:type="dxa"/>
          </w:tcPr>
          <w:p w14:paraId="5BABA2F5" w14:textId="77777777" w:rsidR="00E14393" w:rsidRPr="00B93FFD" w:rsidRDefault="00E14393" w:rsidP="00D46348">
            <w:pPr>
              <w:spacing w:after="0" w:line="240" w:lineRule="auto"/>
              <w:jc w:val="both"/>
              <w:rPr>
                <w:rFonts w:ascii="Times New Roman" w:eastAsia="Times New Roman" w:hAnsi="Times New Roman"/>
              </w:rPr>
            </w:pPr>
            <w:r w:rsidRPr="00B93FFD">
              <w:rPr>
                <w:rFonts w:ascii="Times New Roman" w:eastAsia="Times New Roman" w:hAnsi="Times New Roman"/>
              </w:rPr>
              <w:t>1</w:t>
            </w:r>
          </w:p>
        </w:tc>
      </w:tr>
      <w:tr w:rsidR="00E14393" w:rsidRPr="00B93FFD" w14:paraId="6C790354" w14:textId="77777777" w:rsidTr="00D46348">
        <w:trPr>
          <w:trHeight w:val="245"/>
        </w:trPr>
        <w:tc>
          <w:tcPr>
            <w:tcW w:w="2959" w:type="dxa"/>
          </w:tcPr>
          <w:p w14:paraId="6A6E3E26" w14:textId="77777777" w:rsidR="00E14393" w:rsidRPr="00B93FFD" w:rsidRDefault="00E14393" w:rsidP="00D46348">
            <w:pPr>
              <w:spacing w:after="0" w:line="240" w:lineRule="auto"/>
              <w:jc w:val="both"/>
              <w:rPr>
                <w:rFonts w:ascii="Times New Roman" w:eastAsia="Times New Roman" w:hAnsi="Times New Roman"/>
                <w:lang w:val="en-GB"/>
              </w:rPr>
            </w:pPr>
            <w:r w:rsidRPr="00B93FFD">
              <w:rPr>
                <w:rFonts w:ascii="Times New Roman" w:eastAsia="Times New Roman" w:hAnsi="Times New Roman"/>
                <w:lang w:val="en-GB"/>
              </w:rPr>
              <w:t>&gt;35-52,5</w:t>
            </w:r>
          </w:p>
        </w:tc>
        <w:tc>
          <w:tcPr>
            <w:tcW w:w="2959" w:type="dxa"/>
          </w:tcPr>
          <w:p w14:paraId="22533084" w14:textId="77777777" w:rsidR="00E14393" w:rsidRPr="00B93FFD" w:rsidRDefault="00E14393" w:rsidP="00D46348">
            <w:pPr>
              <w:spacing w:after="0" w:line="240" w:lineRule="auto"/>
              <w:jc w:val="both"/>
              <w:rPr>
                <w:rFonts w:ascii="Times New Roman" w:eastAsia="Times New Roman" w:hAnsi="Times New Roman"/>
              </w:rPr>
            </w:pPr>
            <w:r w:rsidRPr="00B93FFD">
              <w:rPr>
                <w:rFonts w:ascii="Times New Roman" w:eastAsia="Times New Roman" w:hAnsi="Times New Roman"/>
              </w:rPr>
              <w:t>1 ½</w:t>
            </w:r>
          </w:p>
        </w:tc>
      </w:tr>
      <w:tr w:rsidR="00E14393" w:rsidRPr="00B93FFD" w14:paraId="3C3C9561" w14:textId="77777777" w:rsidTr="00D46348">
        <w:trPr>
          <w:trHeight w:val="276"/>
        </w:trPr>
        <w:tc>
          <w:tcPr>
            <w:tcW w:w="2959" w:type="dxa"/>
          </w:tcPr>
          <w:p w14:paraId="7981A360" w14:textId="77777777" w:rsidR="00E14393" w:rsidRPr="00B93FFD" w:rsidRDefault="00E14393" w:rsidP="00D46348">
            <w:pPr>
              <w:spacing w:after="0" w:line="240" w:lineRule="auto"/>
              <w:jc w:val="both"/>
              <w:rPr>
                <w:rFonts w:ascii="Times New Roman" w:eastAsia="Times New Roman" w:hAnsi="Times New Roman"/>
                <w:lang w:val="en-GB"/>
              </w:rPr>
            </w:pPr>
            <w:r w:rsidRPr="00B93FFD">
              <w:rPr>
                <w:rFonts w:ascii="Times New Roman" w:eastAsia="Times New Roman" w:hAnsi="Times New Roman"/>
                <w:lang w:val="en-GB"/>
              </w:rPr>
              <w:t>&gt;52,5-70</w:t>
            </w:r>
          </w:p>
        </w:tc>
        <w:tc>
          <w:tcPr>
            <w:tcW w:w="2959" w:type="dxa"/>
          </w:tcPr>
          <w:p w14:paraId="7D658F6F" w14:textId="77777777" w:rsidR="00E14393" w:rsidRPr="00B93FFD" w:rsidRDefault="00E14393" w:rsidP="00D46348">
            <w:pPr>
              <w:spacing w:after="0" w:line="240" w:lineRule="auto"/>
              <w:jc w:val="both"/>
              <w:rPr>
                <w:rFonts w:ascii="Times New Roman" w:eastAsia="Times New Roman" w:hAnsi="Times New Roman"/>
              </w:rPr>
            </w:pPr>
            <w:r w:rsidRPr="00B93FFD">
              <w:rPr>
                <w:rFonts w:ascii="Times New Roman" w:eastAsia="Times New Roman" w:hAnsi="Times New Roman"/>
              </w:rPr>
              <w:t>2</w:t>
            </w:r>
          </w:p>
        </w:tc>
      </w:tr>
    </w:tbl>
    <w:p w14:paraId="7B3B6E0C" w14:textId="77777777" w:rsidR="00E14393" w:rsidRPr="00B93FFD" w:rsidRDefault="00E14393" w:rsidP="00E14393">
      <w:pPr>
        <w:spacing w:after="0" w:line="240" w:lineRule="auto"/>
        <w:jc w:val="both"/>
        <w:rPr>
          <w:rFonts w:ascii="Times New Roman" w:eastAsia="Times New Roman" w:hAnsi="Times New Roman"/>
        </w:rPr>
      </w:pPr>
    </w:p>
    <w:p w14:paraId="31F9AAF6"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Uz katriem papildu 17,5 kg ķermeņa svara, lietojiet papildu pusi tabletes.</w:t>
      </w:r>
    </w:p>
    <w:p w14:paraId="522068B9" w14:textId="77777777" w:rsidR="00E14393" w:rsidRPr="00B93FFD" w:rsidRDefault="00E14393" w:rsidP="00E14393">
      <w:pPr>
        <w:spacing w:after="0" w:line="240" w:lineRule="auto"/>
        <w:jc w:val="both"/>
        <w:rPr>
          <w:rFonts w:ascii="Times New Roman" w:eastAsia="Times New Roman" w:hAnsi="Times New Roman"/>
          <w:color w:val="000000"/>
        </w:rPr>
      </w:pPr>
    </w:p>
    <w:p w14:paraId="405E5461" w14:textId="77777777" w:rsidR="00E14393" w:rsidRPr="00B93FFD" w:rsidRDefault="00E14393" w:rsidP="00E14393">
      <w:pPr>
        <w:spacing w:after="0" w:line="240" w:lineRule="auto"/>
        <w:jc w:val="both"/>
        <w:rPr>
          <w:rFonts w:ascii="Times New Roman" w:eastAsia="Times New Roman" w:hAnsi="Times New Roman"/>
          <w:color w:val="000000"/>
          <w:u w:val="single"/>
        </w:rPr>
      </w:pPr>
      <w:r w:rsidRPr="00B93FFD">
        <w:rPr>
          <w:rFonts w:ascii="Times New Roman" w:eastAsia="Times New Roman" w:hAnsi="Times New Roman"/>
          <w:color w:val="000000"/>
          <w:u w:val="single"/>
        </w:rPr>
        <w:t>Lietošana un ārstēšanas ilgums:</w:t>
      </w:r>
    </w:p>
    <w:p w14:paraId="7DD7D88A" w14:textId="77777777" w:rsidR="00E14393" w:rsidRPr="00B93FFD" w:rsidRDefault="00E14393" w:rsidP="00E14393">
      <w:pPr>
        <w:spacing w:after="0" w:line="240" w:lineRule="auto"/>
        <w:jc w:val="both"/>
        <w:rPr>
          <w:rFonts w:ascii="Times New Roman" w:eastAsia="Times New Roman" w:hAnsi="Times New Roman"/>
          <w:color w:val="000000"/>
        </w:rPr>
      </w:pPr>
    </w:p>
    <w:p w14:paraId="5C9B1506"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Tabletes ir aromatizētas, un pētījumi pierādījuši, ka tās ir garšīgas un pētījumos vairums suņu (aptuveni 9 no 10) tās apēda brīvprātīgi.</w:t>
      </w:r>
    </w:p>
    <w:p w14:paraId="448280CA" w14:textId="77777777" w:rsidR="00E14393" w:rsidRPr="00B93FFD" w:rsidRDefault="00E14393" w:rsidP="00E14393">
      <w:pPr>
        <w:spacing w:after="0" w:line="240" w:lineRule="auto"/>
        <w:jc w:val="both"/>
        <w:rPr>
          <w:rFonts w:ascii="Times New Roman" w:eastAsia="Times New Roman" w:hAnsi="Times New Roman"/>
          <w:color w:val="000000"/>
        </w:rPr>
      </w:pPr>
    </w:p>
    <w:p w14:paraId="5D9397A7"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Apaļtārpu un lenteņu invāzijas gadījumā tabletes jālieto tikai vienu reizi.</w:t>
      </w:r>
    </w:p>
    <w:p w14:paraId="022DCC72" w14:textId="77777777" w:rsidR="00E14393" w:rsidRPr="00B93FFD" w:rsidRDefault="00E14393" w:rsidP="00E14393">
      <w:pPr>
        <w:spacing w:after="0" w:line="240" w:lineRule="auto"/>
        <w:jc w:val="both"/>
        <w:rPr>
          <w:rFonts w:ascii="Times New Roman" w:eastAsia="Times New Roman" w:hAnsi="Times New Roman"/>
          <w:color w:val="000000"/>
        </w:rPr>
      </w:pPr>
    </w:p>
    <w:p w14:paraId="3208DEAC"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Devu programma jānosaka, konsultējoties ar veterinārārstu. Standarta shēma pieaugušam sunim (vecākam par 6 mēnešiem) ir attārpošana ik pēc 3 mēnešiem. Ja suņa īpašnieks izvēlas neveikt regulāru prettārpu terapiju, tad kā iespējamā alternatīva var būt koproloģiskās analīzes ik pēc 3 mēnešiem. Dažās specifiskās situācijās, piemēram, laktējošām kucēm, kucēniem (līdz 6 mēnešu vecumam) vai audzētavas apstākļos, būtu lietderīgi veikt biežāku attārpošanu, un, konsultējoties ar veterinārārstu, izveidot atbilstošu attārpošanas programmu. Līdzīgi dažās situācijās (piemēram, smaga apaļtārpu invāzija vai ehinokokoze) var būt nepieciešama </w:t>
      </w:r>
      <w:r w:rsidRPr="00B93FFD">
        <w:rPr>
          <w:rFonts w:ascii="Times New Roman" w:eastAsia="Times New Roman" w:hAnsi="Times New Roman"/>
          <w:color w:val="000000"/>
        </w:rPr>
        <w:lastRenderedPageBreak/>
        <w:t>turpmāka ārstēšana, un veterinārārsts var sniegt informāciju par to, kad būtu jāveic papildu ārstēšana.</w:t>
      </w:r>
    </w:p>
    <w:p w14:paraId="19533B3D" w14:textId="77777777" w:rsidR="00E14393" w:rsidRPr="00B93FFD" w:rsidRDefault="00E14393" w:rsidP="00E14393">
      <w:pPr>
        <w:spacing w:after="0" w:line="240" w:lineRule="auto"/>
        <w:jc w:val="both"/>
        <w:rPr>
          <w:rFonts w:ascii="Times New Roman" w:eastAsia="Times New Roman" w:hAnsi="Times New Roman"/>
          <w:color w:val="000000"/>
        </w:rPr>
      </w:pPr>
    </w:p>
    <w:p w14:paraId="291459F8"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Nelietot suņiem, kas sver mazāk par 7 kg.</w:t>
      </w:r>
    </w:p>
    <w:p w14:paraId="0CCC4B86"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i/>
        </w:rPr>
        <w:t xml:space="preserve">Giardia </w:t>
      </w:r>
      <w:r w:rsidRPr="00B93FFD">
        <w:rPr>
          <w:rFonts w:ascii="Times New Roman" w:eastAsia="Times New Roman" w:hAnsi="Times New Roman"/>
        </w:rPr>
        <w:t xml:space="preserve">spp. </w:t>
      </w:r>
      <w:r w:rsidRPr="00B93FFD">
        <w:rPr>
          <w:rFonts w:ascii="Times New Roman" w:eastAsia="Times New Roman" w:hAnsi="Times New Roman"/>
          <w:color w:val="000000"/>
        </w:rPr>
        <w:t>invāzijas ārstēšanai: ieteicamā deva jālieto 3 dienas pēc kārtas.</w:t>
      </w:r>
    </w:p>
    <w:p w14:paraId="147A11A6" w14:textId="77777777" w:rsidR="00E14393" w:rsidRPr="00B93FFD" w:rsidRDefault="00E14393" w:rsidP="00E14393">
      <w:pPr>
        <w:spacing w:after="0" w:line="240" w:lineRule="auto"/>
        <w:jc w:val="both"/>
        <w:rPr>
          <w:rFonts w:ascii="Times New Roman" w:eastAsia="Times New Roman" w:hAnsi="Times New Roman"/>
          <w:color w:val="000000"/>
        </w:rPr>
      </w:pPr>
    </w:p>
    <w:p w14:paraId="2A03C919"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Rūpīgi iztīrīt un dezinficēt dzīvnieka apkārtējo vidi, lai novērstu atkārtotu invāziju, īpaši suņu audzētavu gadījumā.</w:t>
      </w:r>
    </w:p>
    <w:p w14:paraId="6E469BF8" w14:textId="77777777" w:rsidR="00E14393" w:rsidRPr="00B93FFD" w:rsidRDefault="00E14393" w:rsidP="00E14393">
      <w:pPr>
        <w:spacing w:after="0" w:line="240" w:lineRule="auto"/>
        <w:jc w:val="both"/>
        <w:rPr>
          <w:rFonts w:ascii="Times New Roman" w:eastAsia="Times New Roman" w:hAnsi="Times New Roman"/>
          <w:color w:val="000000"/>
        </w:rPr>
      </w:pPr>
    </w:p>
    <w:p w14:paraId="25DA7BC5"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r w:rsidRPr="00B93FFD">
        <w:rPr>
          <w:rFonts w:ascii="Times New Roman" w:eastAsia="Times New Roman" w:hAnsi="Times New Roman"/>
          <w:b/>
          <w:color w:val="000000"/>
          <w:highlight w:val="lightGray"/>
        </w:rPr>
        <w:t>9.</w:t>
      </w:r>
      <w:r w:rsidRPr="00B93FFD">
        <w:rPr>
          <w:rFonts w:ascii="Times New Roman" w:eastAsia="Times New Roman" w:hAnsi="Times New Roman"/>
          <w:b/>
          <w:color w:val="000000"/>
        </w:rPr>
        <w:tab/>
        <w:t xml:space="preserve">IETEIKUMI PAREIZAI LIETOŠANAI </w:t>
      </w:r>
    </w:p>
    <w:p w14:paraId="49CB0603" w14:textId="77777777" w:rsidR="00E14393" w:rsidRPr="00B93FFD" w:rsidRDefault="00E14393" w:rsidP="00E14393">
      <w:pPr>
        <w:spacing w:after="0" w:line="240" w:lineRule="auto"/>
        <w:ind w:left="567" w:hanging="567"/>
        <w:jc w:val="both"/>
        <w:rPr>
          <w:rFonts w:ascii="Times New Roman" w:eastAsia="Times New Roman" w:hAnsi="Times New Roman"/>
          <w:b/>
          <w:color w:val="000000"/>
        </w:rPr>
      </w:pPr>
    </w:p>
    <w:p w14:paraId="0CB28BF1"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Tabletes dzīvniekam var dot tieši mutē vai iemaisīt barībā. Pirms un pēc zāļu iekšķīgas lietošanas nav nepieciešamas īpašas izmaiņas ēdināšanā. </w:t>
      </w:r>
    </w:p>
    <w:p w14:paraId="38AF50C7" w14:textId="77777777" w:rsidR="00E14393" w:rsidRPr="00B93FFD" w:rsidRDefault="00E14393" w:rsidP="00E14393">
      <w:pPr>
        <w:spacing w:after="0" w:line="240" w:lineRule="auto"/>
        <w:jc w:val="both"/>
        <w:rPr>
          <w:rFonts w:ascii="Times New Roman" w:eastAsia="Times New Roman" w:hAnsi="Times New Roman"/>
          <w:color w:val="FF0000"/>
        </w:rPr>
      </w:pPr>
    </w:p>
    <w:p w14:paraId="38BAACEC" w14:textId="77777777" w:rsidR="00E14393" w:rsidRPr="00B93FFD" w:rsidRDefault="00E14393" w:rsidP="00E14393">
      <w:pPr>
        <w:spacing w:after="0" w:line="240" w:lineRule="auto"/>
        <w:jc w:val="both"/>
        <w:rPr>
          <w:rFonts w:ascii="Times New Roman" w:eastAsia="Times New Roman" w:hAnsi="Times New Roman"/>
        </w:rPr>
      </w:pPr>
      <w:r w:rsidRPr="00B93FFD">
        <w:rPr>
          <w:rFonts w:ascii="Times New Roman" w:eastAsia="Times New Roman" w:hAnsi="Times New Roman"/>
        </w:rPr>
        <w:t>Sadalītās tabletes jāizlieto nekavējoties vai jāievieto atvērtajā blisterī līdz izlietošanai.</w:t>
      </w:r>
    </w:p>
    <w:p w14:paraId="6C88B046" w14:textId="77777777" w:rsidR="00E14393" w:rsidRPr="00B93FFD" w:rsidRDefault="00E14393" w:rsidP="00E14393">
      <w:pPr>
        <w:spacing w:after="0" w:line="240" w:lineRule="auto"/>
        <w:jc w:val="both"/>
        <w:rPr>
          <w:rFonts w:ascii="Times New Roman" w:eastAsia="Times New Roman" w:hAnsi="Times New Roman"/>
          <w:color w:val="000000"/>
        </w:rPr>
      </w:pPr>
    </w:p>
    <w:p w14:paraId="52DF65C4"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r w:rsidRPr="00B93FFD">
        <w:rPr>
          <w:rFonts w:ascii="Times New Roman" w:eastAsia="Times New Roman" w:hAnsi="Times New Roman"/>
          <w:b/>
          <w:color w:val="000000"/>
          <w:highlight w:val="lightGray"/>
        </w:rPr>
        <w:t>10.</w:t>
      </w:r>
      <w:r w:rsidRPr="00B93FFD">
        <w:rPr>
          <w:rFonts w:ascii="Times New Roman" w:eastAsia="Times New Roman" w:hAnsi="Times New Roman"/>
          <w:b/>
          <w:color w:val="000000"/>
        </w:rPr>
        <w:tab/>
        <w:t xml:space="preserve">IEROBEŽOJUMU PERIODS(-I) DZĪVNIEKU PRODUKCIJAS IZMANTOŠANĀ </w:t>
      </w:r>
    </w:p>
    <w:p w14:paraId="5F4FDF40" w14:textId="77777777" w:rsidR="00E14393" w:rsidRPr="00B93FFD" w:rsidRDefault="00E14393" w:rsidP="00E14393">
      <w:pPr>
        <w:spacing w:after="0" w:line="240" w:lineRule="auto"/>
        <w:jc w:val="both"/>
        <w:rPr>
          <w:rFonts w:ascii="Times New Roman" w:eastAsia="Times New Roman" w:hAnsi="Times New Roman"/>
          <w:color w:val="000000"/>
        </w:rPr>
      </w:pPr>
    </w:p>
    <w:p w14:paraId="16348C4B"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Nav piemērojams.</w:t>
      </w:r>
    </w:p>
    <w:p w14:paraId="78F6DE40" w14:textId="77777777" w:rsidR="00E14393" w:rsidRPr="00B93FFD" w:rsidRDefault="00E14393" w:rsidP="00E14393">
      <w:pPr>
        <w:spacing w:after="0" w:line="240" w:lineRule="auto"/>
        <w:jc w:val="both"/>
        <w:rPr>
          <w:rFonts w:ascii="Times New Roman" w:eastAsia="Times New Roman" w:hAnsi="Times New Roman"/>
          <w:color w:val="000000"/>
        </w:rPr>
      </w:pPr>
    </w:p>
    <w:p w14:paraId="31B9489E"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r w:rsidRPr="00B93FFD">
        <w:rPr>
          <w:rFonts w:ascii="Times New Roman" w:eastAsia="Times New Roman" w:hAnsi="Times New Roman"/>
          <w:b/>
          <w:color w:val="000000"/>
          <w:highlight w:val="lightGray"/>
        </w:rPr>
        <w:t>11.</w:t>
      </w:r>
      <w:r w:rsidRPr="00B93FFD">
        <w:rPr>
          <w:rFonts w:ascii="Times New Roman" w:eastAsia="Times New Roman" w:hAnsi="Times New Roman"/>
          <w:b/>
          <w:color w:val="000000"/>
        </w:rPr>
        <w:tab/>
        <w:t>ĪPAŠI UZGL</w:t>
      </w:r>
      <w:r w:rsidRPr="00B93FFD">
        <w:rPr>
          <w:rFonts w:ascii="Times New Roman" w:eastAsia="Times New Roman" w:hAnsi="Times New Roman"/>
          <w:b/>
          <w:caps/>
          <w:color w:val="000000"/>
        </w:rPr>
        <w:t xml:space="preserve">abāšanaS </w:t>
      </w:r>
      <w:r w:rsidRPr="00B93FFD">
        <w:rPr>
          <w:rFonts w:ascii="Times New Roman" w:eastAsia="Times New Roman" w:hAnsi="Times New Roman"/>
          <w:b/>
          <w:color w:val="000000"/>
        </w:rPr>
        <w:t>NORĀDĪJUMI</w:t>
      </w:r>
    </w:p>
    <w:p w14:paraId="2C23A98B" w14:textId="77777777" w:rsidR="00E14393" w:rsidRPr="00B93FFD" w:rsidRDefault="00E14393" w:rsidP="00E14393">
      <w:pPr>
        <w:spacing w:after="0" w:line="240" w:lineRule="auto"/>
        <w:jc w:val="both"/>
        <w:rPr>
          <w:rFonts w:ascii="Times New Roman" w:eastAsia="Times New Roman" w:hAnsi="Times New Roman"/>
          <w:color w:val="000000"/>
        </w:rPr>
      </w:pPr>
    </w:p>
    <w:p w14:paraId="6F2C12A9" w14:textId="77777777" w:rsidR="00E14393" w:rsidRPr="00B93FFD" w:rsidRDefault="00E14393" w:rsidP="00E14393">
      <w:pPr>
        <w:numPr>
          <w:ilvl w:val="12"/>
          <w:numId w:val="0"/>
        </w:numPr>
        <w:spacing w:after="0" w:line="240" w:lineRule="auto"/>
        <w:ind w:right="-2"/>
        <w:jc w:val="both"/>
        <w:rPr>
          <w:rFonts w:ascii="Times New Roman" w:eastAsia="Times New Roman" w:hAnsi="Times New Roman"/>
          <w:noProof/>
        </w:rPr>
      </w:pPr>
      <w:r w:rsidRPr="00B93FFD">
        <w:rPr>
          <w:rFonts w:ascii="Times New Roman" w:eastAsia="Times New Roman" w:hAnsi="Times New Roman"/>
          <w:noProof/>
        </w:rPr>
        <w:t>Uzglabāt  bērniem neredzamā  un nepieejamā vietā.</w:t>
      </w:r>
    </w:p>
    <w:p w14:paraId="4B5ADA53" w14:textId="31A941BD" w:rsidR="00E14393" w:rsidRPr="00B93FFD" w:rsidRDefault="00280931" w:rsidP="00E14393">
      <w:pPr>
        <w:spacing w:after="0" w:line="240" w:lineRule="auto"/>
        <w:ind w:right="-2"/>
        <w:jc w:val="both"/>
        <w:rPr>
          <w:rFonts w:ascii="Times New Roman" w:eastAsia="Times New Roman" w:hAnsi="Times New Roman"/>
          <w:color w:val="000000"/>
        </w:rPr>
      </w:pPr>
      <w:r w:rsidRPr="00280931">
        <w:rPr>
          <w:rFonts w:ascii="Times New Roman" w:eastAsia="Times New Roman" w:hAnsi="Times New Roman"/>
          <w:noProof/>
        </w:rPr>
        <w:t>Uzglabāt temperatūrā līdz 25</w:t>
      </w:r>
      <w:r w:rsidRPr="00344CE2">
        <w:rPr>
          <w:rFonts w:ascii="Times New Roman" w:eastAsia="Times New Roman" w:hAnsi="Times New Roman"/>
          <w:noProof/>
          <w:vertAlign w:val="superscript"/>
        </w:rPr>
        <w:t>o</w:t>
      </w:r>
      <w:r w:rsidRPr="00280931">
        <w:rPr>
          <w:rFonts w:ascii="Times New Roman" w:eastAsia="Times New Roman" w:hAnsi="Times New Roman"/>
          <w:noProof/>
        </w:rPr>
        <w:t xml:space="preserve">C </w:t>
      </w:r>
      <w:r w:rsidR="00E14393" w:rsidRPr="00B93FFD">
        <w:rPr>
          <w:rFonts w:ascii="Times New Roman" w:eastAsia="Times New Roman" w:hAnsi="Times New Roman"/>
          <w:color w:val="000000"/>
        </w:rPr>
        <w:t>Nelietot šīs veterinārās zāles, ja beidzies derīguma termiņš, kas norādīts uz kartona iepakojuma un blistera pēc EXP. Derīguma termiņš attiecināms uz mēneša pēdējo dienu.</w:t>
      </w:r>
    </w:p>
    <w:p w14:paraId="7776897A" w14:textId="77777777" w:rsidR="00E14393" w:rsidRPr="00B93FFD" w:rsidRDefault="00E14393" w:rsidP="00E14393">
      <w:pPr>
        <w:spacing w:after="0" w:line="240" w:lineRule="auto"/>
        <w:ind w:right="-2"/>
        <w:jc w:val="both"/>
        <w:rPr>
          <w:rFonts w:ascii="Times New Roman" w:eastAsia="Times New Roman" w:hAnsi="Times New Roman"/>
          <w:color w:val="000000"/>
        </w:rPr>
      </w:pPr>
    </w:p>
    <w:p w14:paraId="1984F9AB" w14:textId="77777777" w:rsidR="00E14393" w:rsidRPr="00B93FFD" w:rsidRDefault="00E14393" w:rsidP="00E14393">
      <w:pPr>
        <w:tabs>
          <w:tab w:val="left" w:pos="567"/>
        </w:tabs>
        <w:spacing w:after="0" w:line="240" w:lineRule="auto"/>
        <w:jc w:val="both"/>
        <w:rPr>
          <w:rFonts w:ascii="Times New Roman" w:eastAsia="Times New Roman" w:hAnsi="Times New Roman"/>
          <w:color w:val="000000"/>
        </w:rPr>
      </w:pPr>
    </w:p>
    <w:p w14:paraId="1D6AE1C6"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b/>
          <w:color w:val="000000"/>
        </w:rPr>
      </w:pPr>
      <w:r w:rsidRPr="00B93FFD">
        <w:rPr>
          <w:rFonts w:ascii="Times New Roman" w:eastAsia="Times New Roman" w:hAnsi="Times New Roman"/>
          <w:b/>
          <w:color w:val="000000"/>
          <w:highlight w:val="lightGray"/>
        </w:rPr>
        <w:t>12.</w:t>
      </w:r>
      <w:r w:rsidRPr="00B93FFD">
        <w:rPr>
          <w:rFonts w:ascii="Times New Roman" w:eastAsia="Times New Roman" w:hAnsi="Times New Roman"/>
          <w:b/>
          <w:color w:val="000000"/>
        </w:rPr>
        <w:tab/>
        <w:t>ĪPAŠI BRĪDINĀJUMI</w:t>
      </w:r>
    </w:p>
    <w:p w14:paraId="28643BCD" w14:textId="77777777" w:rsidR="00E14393" w:rsidRPr="00B93FFD" w:rsidRDefault="00E14393" w:rsidP="00E14393">
      <w:pPr>
        <w:spacing w:after="0" w:line="240" w:lineRule="auto"/>
        <w:ind w:right="-2"/>
        <w:jc w:val="both"/>
        <w:rPr>
          <w:rFonts w:ascii="Times New Roman" w:eastAsia="Times New Roman" w:hAnsi="Times New Roman"/>
          <w:color w:val="000000"/>
        </w:rPr>
      </w:pPr>
    </w:p>
    <w:p w14:paraId="2856FD44" w14:textId="77777777" w:rsidR="00E14393" w:rsidRPr="00B93FFD" w:rsidRDefault="00E14393" w:rsidP="00E14393">
      <w:pPr>
        <w:tabs>
          <w:tab w:val="left" w:pos="567"/>
        </w:tabs>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Parazītu rezistence pret jebkuru konkrētās grupas prettārpu līdzekli var attīstīties pēc biežas, atkārtotas šīs grupas prettārpu līdzekļu lietošanas.</w:t>
      </w:r>
    </w:p>
    <w:p w14:paraId="2C3EF2B8" w14:textId="77777777" w:rsidR="00E14393" w:rsidRPr="00B93FFD" w:rsidRDefault="00E14393" w:rsidP="00E14393">
      <w:pPr>
        <w:spacing w:after="0" w:line="240" w:lineRule="auto"/>
        <w:jc w:val="both"/>
        <w:rPr>
          <w:rFonts w:ascii="Times New Roman" w:eastAsia="Times New Roman" w:hAnsi="Times New Roman"/>
          <w:b/>
          <w:color w:val="000000"/>
        </w:rPr>
      </w:pPr>
    </w:p>
    <w:p w14:paraId="05F24E98" w14:textId="77777777" w:rsidR="00E14393" w:rsidRPr="00B93FFD" w:rsidRDefault="00E14393" w:rsidP="00E14393">
      <w:pPr>
        <w:tabs>
          <w:tab w:val="left" w:pos="567"/>
        </w:tabs>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Blusas kalpo kā starpsaimnieki plaši izplatītajam lenteņu tipam – </w:t>
      </w:r>
      <w:r w:rsidRPr="00B93FFD">
        <w:rPr>
          <w:rFonts w:ascii="Times New Roman" w:eastAsia="Times New Roman" w:hAnsi="Times New Roman"/>
          <w:i/>
          <w:color w:val="000000"/>
        </w:rPr>
        <w:t>Dipylidium caninum</w:t>
      </w:r>
      <w:r w:rsidRPr="00B93FFD">
        <w:rPr>
          <w:rFonts w:ascii="Times New Roman" w:eastAsia="Times New Roman" w:hAnsi="Times New Roman"/>
          <w:color w:val="000000"/>
        </w:rPr>
        <w:t>. Suņi turpinās atkārtoti invadēties, ja vien netiks veikta to starpsaimnieku, piemēram, blusu, peļu u.c. apkarošana.</w:t>
      </w:r>
    </w:p>
    <w:p w14:paraId="3BBDD737" w14:textId="77777777" w:rsidR="00E14393" w:rsidRPr="00B93FFD" w:rsidRDefault="00E14393" w:rsidP="00E14393">
      <w:pPr>
        <w:spacing w:after="0" w:line="240" w:lineRule="auto"/>
        <w:jc w:val="both"/>
        <w:rPr>
          <w:rFonts w:ascii="Times New Roman" w:eastAsia="Times New Roman" w:hAnsi="Times New Roman"/>
          <w:b/>
          <w:color w:val="000000"/>
        </w:rPr>
      </w:pPr>
    </w:p>
    <w:p w14:paraId="7CF62315" w14:textId="77777777" w:rsidR="00E14393" w:rsidRPr="00B93FFD" w:rsidRDefault="00E14393" w:rsidP="00E14393">
      <w:pPr>
        <w:tabs>
          <w:tab w:val="left" w:pos="567"/>
        </w:tabs>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Lai izvairītos no atkārtotas invāzijas, visi dzīvnieki, kas tiek turēti kopā, ir jāārstē vienlaicīgi. Ļoti svarīgi ir veikt tīrīšanas pasākumus pēc ārstēšanas, lai novērstu invāzijas atkārtošanos un izplatīšanos. Tas ir īpaši svarīgi giardiju gadījumā. Katra vieta, kas var būt kontaminēta ar fekālijām vai netīrumiem no dzīvnieka, rūpīgi jāiztīra/jāmazgā un jādezinficē.</w:t>
      </w:r>
    </w:p>
    <w:p w14:paraId="09ACCF1F" w14:textId="77777777" w:rsidR="00E14393" w:rsidRPr="00B93FFD" w:rsidRDefault="00E14393" w:rsidP="00E14393">
      <w:pPr>
        <w:spacing w:after="0" w:line="240" w:lineRule="auto"/>
        <w:jc w:val="both"/>
        <w:rPr>
          <w:rFonts w:ascii="Times New Roman" w:eastAsia="Times New Roman" w:hAnsi="Times New Roman"/>
          <w:b/>
          <w:color w:val="000000"/>
        </w:rPr>
      </w:pPr>
    </w:p>
    <w:p w14:paraId="4592A0B8" w14:textId="77777777" w:rsidR="00E14393" w:rsidRPr="00B93FFD" w:rsidRDefault="00E14393" w:rsidP="00E14393">
      <w:pPr>
        <w:spacing w:after="0" w:line="240" w:lineRule="auto"/>
        <w:jc w:val="both"/>
        <w:rPr>
          <w:rFonts w:ascii="Times New Roman" w:eastAsia="Times New Roman" w:hAnsi="Times New Roman"/>
        </w:rPr>
      </w:pPr>
      <w:r w:rsidRPr="00B93FFD">
        <w:rPr>
          <w:rFonts w:ascii="Times New Roman" w:eastAsia="Times New Roman" w:hAnsi="Times New Roman"/>
          <w:u w:val="single"/>
        </w:rPr>
        <w:t>Īpaši p</w:t>
      </w:r>
      <w:r w:rsidRPr="00B93FFD">
        <w:rPr>
          <w:rFonts w:ascii="Times New Roman" w:eastAsia="Times New Roman" w:hAnsi="Times New Roman"/>
          <w:color w:val="000000"/>
          <w:u w:val="single"/>
          <w:lang w:eastAsia="lv-LV"/>
        </w:rPr>
        <w:t>iesardzības pasākumi, kas jāievēro personai, kura lieto veterinārās zāles dzīvnieku ārstēšanai</w:t>
      </w:r>
      <w:r w:rsidRPr="00B93FFD">
        <w:rPr>
          <w:rFonts w:ascii="Times New Roman" w:eastAsia="Times New Roman" w:hAnsi="Times New Roman"/>
        </w:rPr>
        <w:t>:</w:t>
      </w:r>
    </w:p>
    <w:p w14:paraId="252C7F1F"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Ja notikusi nejauša (gadījuma rakstura) norīšana, nekavējoties meklēt medicīnisko palīdzību un uzrādīt lietošanas instrukciju vai iepakojuma marķējumu ārstam.</w:t>
      </w:r>
    </w:p>
    <w:p w14:paraId="37159EA8"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Lai ievērotu higiēnas prasības, personām, kuras dod tableti sunim tieši mutē vai pievieno to suņa barībai, jāmazgā rokas pēc lietošanas.</w:t>
      </w:r>
    </w:p>
    <w:p w14:paraId="53745711"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i/>
          <w:color w:val="000000"/>
        </w:rPr>
        <w:t xml:space="preserve">Giardia </w:t>
      </w:r>
      <w:r w:rsidRPr="00B93FFD">
        <w:rPr>
          <w:rFonts w:ascii="Times New Roman" w:eastAsia="Times New Roman" w:hAnsi="Times New Roman"/>
          <w:color w:val="000000"/>
        </w:rPr>
        <w:t>spp. var invadēt cilvēkus, tāpēc meklēt medicīnisko palīdzību gadījumā, ja jūsu suns ir invadēts.</w:t>
      </w:r>
    </w:p>
    <w:p w14:paraId="313CFE52" w14:textId="77777777" w:rsidR="00E14393" w:rsidRPr="00B93FFD" w:rsidRDefault="00E14393" w:rsidP="00E14393">
      <w:pPr>
        <w:tabs>
          <w:tab w:val="left" w:pos="567"/>
        </w:tabs>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Tā kā šīs zāles satur prazikvantelu, tās ir efektīvas pret </w:t>
      </w:r>
      <w:r w:rsidRPr="00B93FFD">
        <w:rPr>
          <w:rFonts w:ascii="Times New Roman" w:eastAsia="Times New Roman" w:hAnsi="Times New Roman"/>
          <w:i/>
        </w:rPr>
        <w:t>Echinococcus</w:t>
      </w:r>
      <w:r w:rsidRPr="00B93FFD">
        <w:rPr>
          <w:rFonts w:ascii="Times New Roman" w:eastAsia="Times New Roman" w:hAnsi="Times New Roman"/>
          <w:color w:val="000000"/>
        </w:rPr>
        <w:t xml:space="preserve"> spp., kas nav sastopamas visās ES dalībvalstīs, bet kļūst biežāk sastopama dažās no tām. Ehinokokoze ir bīstama cilvēkiem. Tā kā ehinokokoze ir slimība, par kuru jāziņo Pasaules dzīvnieku veselības organizācijai (World Organisation for Animal Health (OIE)), no attiecīgās kompetentās </w:t>
      </w:r>
      <w:r w:rsidRPr="00B93FFD">
        <w:rPr>
          <w:rFonts w:ascii="Times New Roman" w:eastAsia="Times New Roman" w:hAnsi="Times New Roman"/>
          <w:color w:val="000000"/>
        </w:rPr>
        <w:lastRenderedPageBreak/>
        <w:t>iestādes jāsaņem īpaši norādījumi par ārstēšanu un uzraudzību, kā arī cilvēku veselības aizsardzību</w:t>
      </w:r>
      <w:r>
        <w:rPr>
          <w:rFonts w:ascii="Times New Roman" w:eastAsia="Times New Roman" w:hAnsi="Times New Roman"/>
          <w:color w:val="000000"/>
        </w:rPr>
        <w:t>.</w:t>
      </w:r>
    </w:p>
    <w:p w14:paraId="0BF54CC9" w14:textId="77777777" w:rsidR="00E14393" w:rsidRPr="00B93FFD" w:rsidRDefault="00E14393" w:rsidP="00E14393">
      <w:pPr>
        <w:tabs>
          <w:tab w:val="left" w:pos="567"/>
        </w:tabs>
        <w:spacing w:after="0" w:line="240" w:lineRule="auto"/>
        <w:jc w:val="both"/>
        <w:rPr>
          <w:rFonts w:ascii="Times New Roman" w:eastAsia="Times New Roman" w:hAnsi="Times New Roman"/>
        </w:rPr>
      </w:pPr>
    </w:p>
    <w:p w14:paraId="5C8F68F3" w14:textId="77777777" w:rsidR="00E14393" w:rsidRPr="00B93FFD" w:rsidRDefault="00E14393" w:rsidP="00E14393">
      <w:pPr>
        <w:spacing w:after="0" w:line="240" w:lineRule="auto"/>
        <w:jc w:val="both"/>
        <w:rPr>
          <w:rFonts w:ascii="Times New Roman" w:eastAsia="Times New Roman" w:hAnsi="Times New Roman"/>
        </w:rPr>
      </w:pPr>
      <w:r w:rsidRPr="00B93FFD">
        <w:rPr>
          <w:rFonts w:ascii="Times New Roman" w:eastAsia="Times New Roman" w:hAnsi="Times New Roman"/>
          <w:u w:val="single"/>
        </w:rPr>
        <w:t>Grūsnība un laktācija</w:t>
      </w:r>
      <w:r w:rsidRPr="00B93FFD">
        <w:rPr>
          <w:rFonts w:ascii="Times New Roman" w:eastAsia="Times New Roman" w:hAnsi="Times New Roman"/>
        </w:rPr>
        <w:t>:</w:t>
      </w:r>
    </w:p>
    <w:p w14:paraId="04BA1962"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Laboratoriskajos pētījumos žurkām, aitām un suņiem tika konstatēta teratogēna iedarbība, kas saistīta ar lielu febantela devu lietošanu agrīnā grūsnības periodā. </w:t>
      </w:r>
    </w:p>
    <w:p w14:paraId="726C75AD" w14:textId="77777777" w:rsidR="00E14393" w:rsidRPr="00B93FFD" w:rsidRDefault="00E14393" w:rsidP="00E14393">
      <w:pPr>
        <w:spacing w:after="0" w:line="240" w:lineRule="auto"/>
        <w:jc w:val="both"/>
        <w:rPr>
          <w:rFonts w:ascii="Times New Roman" w:eastAsia="Times New Roman" w:hAnsi="Times New Roman"/>
          <w:color w:val="000000"/>
        </w:rPr>
      </w:pPr>
    </w:p>
    <w:p w14:paraId="45EB6D13"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Šīs veterinārās zāles 3 dienu ārstēšanas kursā pret </w:t>
      </w:r>
      <w:r w:rsidRPr="00B93FFD">
        <w:rPr>
          <w:rFonts w:ascii="Times New Roman" w:eastAsia="Times New Roman" w:hAnsi="Times New Roman"/>
          <w:i/>
          <w:iCs/>
          <w:color w:val="000000"/>
        </w:rPr>
        <w:t>Giardia</w:t>
      </w:r>
      <w:r w:rsidRPr="00B93FFD">
        <w:rPr>
          <w:rFonts w:ascii="Times New Roman" w:eastAsia="Times New Roman" w:hAnsi="Times New Roman"/>
          <w:color w:val="000000"/>
        </w:rPr>
        <w:t xml:space="preserve"> spp. invāziju trešajā grūsnības periodā lietot tikai pēc ārstējošā veterinārārsta ieguvuma un riska attiecības izvērtēšanas. </w:t>
      </w:r>
    </w:p>
    <w:p w14:paraId="73C45C39" w14:textId="77777777" w:rsidR="00E14393" w:rsidRPr="00B93FFD" w:rsidRDefault="00E14393" w:rsidP="00E14393">
      <w:pPr>
        <w:spacing w:after="0" w:line="240" w:lineRule="auto"/>
        <w:jc w:val="both"/>
        <w:rPr>
          <w:rFonts w:ascii="Times New Roman" w:eastAsia="Times New Roman" w:hAnsi="Times New Roman"/>
          <w:color w:val="000000"/>
        </w:rPr>
      </w:pPr>
    </w:p>
    <w:p w14:paraId="4F12ED3E"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Nav pierādīts šo veterināro zāļu </w:t>
      </w:r>
      <w:r w:rsidRPr="00DA3067">
        <w:rPr>
          <w:rFonts w:ascii="Times New Roman" w:eastAsia="Times New Roman" w:hAnsi="Times New Roman"/>
          <w:color w:val="000000"/>
        </w:rPr>
        <w:t xml:space="preserve">drošums </w:t>
      </w:r>
      <w:r w:rsidRPr="00B93FFD">
        <w:rPr>
          <w:rFonts w:ascii="Times New Roman" w:eastAsia="Times New Roman" w:hAnsi="Times New Roman"/>
          <w:color w:val="000000"/>
        </w:rPr>
        <w:t xml:space="preserve">pirmajā un otrajā grūsnības trimestrī. Nelietot kucēm pirmajā un otrajā grūsnības trimestrī (skatīt </w:t>
      </w:r>
      <w:r w:rsidRPr="00B93FFD">
        <w:rPr>
          <w:rFonts w:ascii="Times New Roman" w:eastAsia="Times New Roman" w:hAnsi="Times New Roman"/>
          <w:color w:val="000000"/>
          <w:highlight w:val="lightGray"/>
        </w:rPr>
        <w:t xml:space="preserve">5. </w:t>
      </w:r>
      <w:r w:rsidRPr="00B93FFD">
        <w:rPr>
          <w:rFonts w:ascii="Times New Roman" w:eastAsia="Times New Roman" w:hAnsi="Times New Roman"/>
          <w:color w:val="000000"/>
        </w:rPr>
        <w:t>sadaļu “Kontrindikācijas”).</w:t>
      </w:r>
    </w:p>
    <w:p w14:paraId="24244B27" w14:textId="77777777" w:rsidR="00E14393" w:rsidRPr="00B93FFD" w:rsidRDefault="00E14393" w:rsidP="00E14393">
      <w:pPr>
        <w:spacing w:after="0" w:line="240" w:lineRule="auto"/>
        <w:jc w:val="both"/>
        <w:rPr>
          <w:rFonts w:ascii="Times New Roman" w:eastAsia="Times New Roman" w:hAnsi="Times New Roman"/>
          <w:color w:val="000000"/>
        </w:rPr>
      </w:pPr>
    </w:p>
    <w:p w14:paraId="1F63D2AA"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 xml:space="preserve">Vienreizēja ārstēšana pēdējā grūsnības trimestrī vai laktācijas laikā ir pierādīta kā droša. </w:t>
      </w:r>
    </w:p>
    <w:p w14:paraId="53957FC6" w14:textId="77777777" w:rsidR="00E14393" w:rsidRPr="00B93FFD" w:rsidRDefault="00E14393" w:rsidP="00E14393">
      <w:pPr>
        <w:spacing w:after="0" w:line="240" w:lineRule="auto"/>
        <w:jc w:val="both"/>
        <w:rPr>
          <w:rFonts w:ascii="Times New Roman" w:eastAsia="Times New Roman" w:hAnsi="Times New Roman"/>
          <w:u w:val="single"/>
        </w:rPr>
      </w:pPr>
    </w:p>
    <w:p w14:paraId="2953BBBA" w14:textId="77777777" w:rsidR="00E14393" w:rsidRPr="00B93FFD" w:rsidRDefault="00E14393" w:rsidP="00E14393">
      <w:pPr>
        <w:spacing w:after="0" w:line="240" w:lineRule="auto"/>
        <w:jc w:val="both"/>
        <w:rPr>
          <w:rFonts w:ascii="Times New Roman" w:eastAsia="Times New Roman" w:hAnsi="Times New Roman"/>
        </w:rPr>
      </w:pPr>
      <w:r w:rsidRPr="00B93FFD">
        <w:rPr>
          <w:rFonts w:ascii="Times New Roman" w:eastAsia="Times New Roman" w:hAnsi="Times New Roman"/>
          <w:u w:val="single"/>
        </w:rPr>
        <w:t>Mijiedarbība ar citām zālēm un citi mijiedarbības veidi:</w:t>
      </w:r>
    </w:p>
    <w:p w14:paraId="0C559E86" w14:textId="77777777" w:rsidR="00E14393" w:rsidRPr="00B93FFD"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Lietojot šīs zāles vienlaicīgi ar piperazīnu saturošām zālēm, var novērot prettārpu iedarbības antagonismu.</w:t>
      </w:r>
    </w:p>
    <w:p w14:paraId="4BAF26E3" w14:textId="77777777" w:rsidR="00E14393" w:rsidRPr="00B93FFD" w:rsidRDefault="00E14393" w:rsidP="00E14393">
      <w:pPr>
        <w:spacing w:after="0" w:line="240" w:lineRule="auto"/>
        <w:jc w:val="both"/>
        <w:rPr>
          <w:rFonts w:ascii="Times New Roman" w:eastAsia="Times New Roman" w:hAnsi="Times New Roman"/>
        </w:rPr>
      </w:pPr>
    </w:p>
    <w:p w14:paraId="1973B2C0" w14:textId="77777777" w:rsidR="00E14393" w:rsidRPr="00B93FFD" w:rsidRDefault="00E14393" w:rsidP="00E14393">
      <w:pPr>
        <w:spacing w:after="0" w:line="240" w:lineRule="auto"/>
        <w:jc w:val="both"/>
        <w:rPr>
          <w:rFonts w:ascii="Times New Roman" w:eastAsia="Times New Roman" w:hAnsi="Times New Roman"/>
        </w:rPr>
      </w:pPr>
      <w:r w:rsidRPr="00B93FFD">
        <w:rPr>
          <w:rFonts w:ascii="Times New Roman" w:eastAsia="Times New Roman" w:hAnsi="Times New Roman"/>
          <w:u w:val="single"/>
        </w:rPr>
        <w:t>Pārdozēšana (simptomi, rīcība ārkārtas situācijā, antidoti)</w:t>
      </w:r>
      <w:r w:rsidRPr="00B93FFD">
        <w:rPr>
          <w:rFonts w:ascii="Times New Roman" w:eastAsia="Times New Roman" w:hAnsi="Times New Roman"/>
        </w:rPr>
        <w:t>:</w:t>
      </w:r>
    </w:p>
    <w:p w14:paraId="069D32E4" w14:textId="77777777" w:rsidR="00E14393" w:rsidRPr="00B93FFD" w:rsidRDefault="00E14393" w:rsidP="00E14393">
      <w:pPr>
        <w:tabs>
          <w:tab w:val="left" w:pos="0"/>
        </w:tabs>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Suņiem un kucēniem, lietojot desmitkārtīgu ieteicamo devu, netika novērotas blakusparādības.</w:t>
      </w:r>
    </w:p>
    <w:p w14:paraId="57B5FEB6" w14:textId="77777777" w:rsidR="00E14393" w:rsidRPr="00B93FFD" w:rsidRDefault="00E14393" w:rsidP="00E14393">
      <w:pPr>
        <w:spacing w:after="0" w:line="240" w:lineRule="auto"/>
        <w:jc w:val="both"/>
        <w:rPr>
          <w:rFonts w:ascii="Times New Roman" w:eastAsia="Times New Roman" w:hAnsi="Times New Roman"/>
          <w:color w:val="000000"/>
        </w:rPr>
      </w:pPr>
    </w:p>
    <w:p w14:paraId="7BF97A8F"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b/>
          <w:color w:val="000000"/>
        </w:rPr>
      </w:pPr>
      <w:r w:rsidRPr="00B93FFD">
        <w:rPr>
          <w:rFonts w:ascii="Times New Roman" w:eastAsia="Times New Roman" w:hAnsi="Times New Roman"/>
          <w:b/>
          <w:color w:val="000000"/>
          <w:highlight w:val="lightGray"/>
        </w:rPr>
        <w:t>13.</w:t>
      </w:r>
      <w:r w:rsidRPr="00B93FFD">
        <w:rPr>
          <w:rFonts w:ascii="Times New Roman" w:eastAsia="Times New Roman" w:hAnsi="Times New Roman"/>
          <w:b/>
          <w:color w:val="000000"/>
        </w:rPr>
        <w:tab/>
      </w:r>
      <w:r w:rsidRPr="00B93FFD">
        <w:rPr>
          <w:rFonts w:ascii="Times New Roman" w:eastAsia="Times New Roman" w:hAnsi="Times New Roman"/>
          <w:b/>
          <w:caps/>
          <w:color w:val="000000"/>
        </w:rPr>
        <w:t>ĪPAŠI norādījumi neizlietotU VETERINĀRO ZĀĻU vai to atkritumU IZNĪCINĀŠANAI</w:t>
      </w:r>
    </w:p>
    <w:p w14:paraId="2CDFB61D" w14:textId="77777777" w:rsidR="00E14393" w:rsidRPr="00B93FFD" w:rsidRDefault="00E14393" w:rsidP="00E14393">
      <w:pPr>
        <w:spacing w:after="0" w:line="240" w:lineRule="auto"/>
        <w:ind w:right="-318"/>
        <w:jc w:val="both"/>
        <w:rPr>
          <w:rFonts w:ascii="Times New Roman" w:eastAsia="Times New Roman" w:hAnsi="Times New Roman"/>
          <w:color w:val="000000"/>
        </w:rPr>
      </w:pPr>
    </w:p>
    <w:p w14:paraId="1D5A3B3F" w14:textId="77777777" w:rsidR="00E14393" w:rsidRPr="00B93FFD" w:rsidRDefault="00E14393" w:rsidP="00E14393">
      <w:pPr>
        <w:spacing w:after="0" w:line="240" w:lineRule="auto"/>
        <w:ind w:right="-318"/>
        <w:jc w:val="both"/>
        <w:rPr>
          <w:rFonts w:ascii="Times New Roman" w:eastAsia="Times New Roman" w:hAnsi="Times New Roman"/>
          <w:color w:val="000000"/>
        </w:rPr>
      </w:pPr>
      <w:r w:rsidRPr="00B93FFD">
        <w:rPr>
          <w:rFonts w:ascii="Times New Roman" w:eastAsia="Times New Roman" w:hAnsi="Times New Roman"/>
          <w:noProof/>
        </w:rPr>
        <w:t>Jebkuras neizlietotas veterinārās zāles vai to atkritumus nedrīkst iznīcināt,</w:t>
      </w:r>
      <w:r w:rsidRPr="00B93FFD">
        <w:rPr>
          <w:rFonts w:ascii="Times New Roman" w:eastAsia="Times New Roman" w:hAnsi="Times New Roman"/>
          <w:color w:val="000000"/>
        </w:rPr>
        <w:t xml:space="preserve"> izmantojot kanalizāciju vai kopā ar sadzīves atkritumiem.</w:t>
      </w:r>
    </w:p>
    <w:p w14:paraId="299FA905" w14:textId="77777777" w:rsidR="00E14393" w:rsidRPr="00B93FFD" w:rsidRDefault="00E14393" w:rsidP="00E14393">
      <w:pPr>
        <w:spacing w:after="0" w:line="240" w:lineRule="auto"/>
        <w:ind w:right="-318"/>
        <w:jc w:val="both"/>
        <w:rPr>
          <w:rFonts w:ascii="Times New Roman" w:eastAsia="Times New Roman" w:hAnsi="Times New Roman"/>
          <w:color w:val="000000"/>
        </w:rPr>
      </w:pPr>
    </w:p>
    <w:p w14:paraId="6D23E314" w14:textId="77777777" w:rsidR="00E14393" w:rsidRPr="00B93FFD" w:rsidRDefault="00E14393" w:rsidP="00E14393">
      <w:pPr>
        <w:tabs>
          <w:tab w:val="left" w:pos="567"/>
        </w:tabs>
        <w:spacing w:after="0" w:line="240" w:lineRule="auto"/>
        <w:jc w:val="both"/>
        <w:rPr>
          <w:rFonts w:ascii="Times New Roman" w:eastAsia="Times New Roman" w:hAnsi="Times New Roman"/>
          <w:color w:val="000000"/>
        </w:rPr>
      </w:pPr>
      <w:r w:rsidRPr="00B93FFD">
        <w:rPr>
          <w:rFonts w:ascii="Times New Roman" w:eastAsia="Times New Roman" w:hAnsi="Times New Roman"/>
          <w:b/>
          <w:color w:val="000000"/>
          <w:highlight w:val="lightGray"/>
        </w:rPr>
        <w:t>14.</w:t>
      </w:r>
      <w:r w:rsidRPr="00B93FFD">
        <w:rPr>
          <w:rFonts w:ascii="Times New Roman" w:eastAsia="Times New Roman" w:hAnsi="Times New Roman"/>
          <w:b/>
          <w:color w:val="000000"/>
        </w:rPr>
        <w:tab/>
        <w:t>DATUMS, KAD LIETOŠANAS INSTRUKCIJA PĒDĒJO REIZI TIKA APSTIPRINĀTA</w:t>
      </w:r>
    </w:p>
    <w:p w14:paraId="14CB744C" w14:textId="77777777" w:rsidR="00E14393" w:rsidRPr="00B93FFD" w:rsidRDefault="00E14393" w:rsidP="00E14393">
      <w:pPr>
        <w:spacing w:after="0" w:line="240" w:lineRule="auto"/>
        <w:ind w:right="-318"/>
        <w:jc w:val="both"/>
        <w:rPr>
          <w:rFonts w:ascii="Times New Roman" w:eastAsia="Times New Roman" w:hAnsi="Times New Roman"/>
          <w:color w:val="000000"/>
        </w:rPr>
      </w:pPr>
    </w:p>
    <w:p w14:paraId="5C394F2A" w14:textId="454BB15F" w:rsidR="00E14393" w:rsidRPr="00B93FFD" w:rsidRDefault="00280931" w:rsidP="00E14393">
      <w:pPr>
        <w:spacing w:after="0" w:line="240" w:lineRule="auto"/>
        <w:ind w:right="-318"/>
        <w:jc w:val="both"/>
        <w:rPr>
          <w:rFonts w:ascii="Times New Roman" w:eastAsia="Times New Roman" w:hAnsi="Times New Roman"/>
          <w:color w:val="000000"/>
        </w:rPr>
      </w:pPr>
      <w:r>
        <w:rPr>
          <w:rFonts w:ascii="Times New Roman" w:eastAsia="Times New Roman" w:hAnsi="Times New Roman"/>
          <w:color w:val="000000"/>
        </w:rPr>
        <w:t xml:space="preserve"> 08/2021</w:t>
      </w:r>
    </w:p>
    <w:p w14:paraId="1D9EEA02" w14:textId="77777777" w:rsidR="00E14393" w:rsidRPr="00B93FFD" w:rsidRDefault="00E14393" w:rsidP="00E14393">
      <w:pPr>
        <w:spacing w:after="0" w:line="240" w:lineRule="auto"/>
        <w:ind w:right="-318"/>
        <w:jc w:val="both"/>
        <w:rPr>
          <w:rFonts w:ascii="Times New Roman" w:eastAsia="Times New Roman" w:hAnsi="Times New Roman"/>
          <w:color w:val="000000"/>
        </w:rPr>
      </w:pPr>
    </w:p>
    <w:p w14:paraId="748409D8" w14:textId="77777777" w:rsidR="00E14393" w:rsidRPr="00B93FFD" w:rsidRDefault="00E14393" w:rsidP="00E14393">
      <w:pPr>
        <w:tabs>
          <w:tab w:val="left" w:pos="567"/>
        </w:tabs>
        <w:spacing w:after="0" w:line="240" w:lineRule="auto"/>
        <w:ind w:left="567" w:hanging="567"/>
        <w:jc w:val="both"/>
        <w:rPr>
          <w:rFonts w:ascii="Times New Roman" w:eastAsia="Times New Roman" w:hAnsi="Times New Roman"/>
          <w:color w:val="000000"/>
        </w:rPr>
      </w:pPr>
      <w:r w:rsidRPr="00B93FFD">
        <w:rPr>
          <w:rFonts w:ascii="Times New Roman" w:eastAsia="Times New Roman" w:hAnsi="Times New Roman"/>
          <w:b/>
          <w:color w:val="000000"/>
          <w:highlight w:val="lightGray"/>
        </w:rPr>
        <w:t>15.</w:t>
      </w:r>
      <w:r w:rsidRPr="00B93FFD">
        <w:rPr>
          <w:rFonts w:ascii="Times New Roman" w:eastAsia="Times New Roman" w:hAnsi="Times New Roman"/>
          <w:b/>
          <w:color w:val="000000"/>
        </w:rPr>
        <w:tab/>
        <w:t>CITA INFORMĀCIJA</w:t>
      </w:r>
    </w:p>
    <w:p w14:paraId="2CD8BE3B" w14:textId="77777777" w:rsidR="00280931" w:rsidRDefault="00E14393" w:rsidP="00280931">
      <w:pPr>
        <w:spacing w:line="240" w:lineRule="auto"/>
        <w:rPr>
          <w:rFonts w:ascii="Times New Roman" w:eastAsia="Times New Roman" w:hAnsi="Times New Roman"/>
        </w:rPr>
      </w:pPr>
      <w:r w:rsidRPr="00344CE2">
        <w:rPr>
          <w:rFonts w:ascii="Times New Roman" w:hAnsi="Times New Roman"/>
          <w:color w:val="000000"/>
        </w:rPr>
        <w:t>Tiešā iepakojuma veids:</w:t>
      </w:r>
      <w:r>
        <w:rPr>
          <w:color w:val="000000"/>
          <w:sz w:val="17"/>
          <w:szCs w:val="17"/>
        </w:rPr>
        <w:t xml:space="preserve"> </w:t>
      </w:r>
      <w:r>
        <w:rPr>
          <w:rFonts w:ascii="Times New Roman" w:eastAsia="Times New Roman" w:hAnsi="Times New Roman"/>
          <w:color w:val="000000"/>
        </w:rPr>
        <w:t>2</w:t>
      </w:r>
      <w:r w:rsidRPr="00B93FFD">
        <w:rPr>
          <w:rFonts w:ascii="Times New Roman" w:eastAsia="Times New Roman" w:hAnsi="Times New Roman"/>
          <w:color w:val="000000"/>
        </w:rPr>
        <w:t xml:space="preserve"> </w:t>
      </w:r>
      <w:r w:rsidRPr="00B93FFD">
        <w:rPr>
          <w:rFonts w:ascii="Times New Roman" w:eastAsia="Times New Roman" w:hAnsi="Times New Roman"/>
        </w:rPr>
        <w:t>tabletes kartona kastītē.</w:t>
      </w:r>
    </w:p>
    <w:p w14:paraId="4192D6CA" w14:textId="12069841" w:rsidR="00E14393" w:rsidRDefault="00E14393" w:rsidP="00E14393">
      <w:pPr>
        <w:spacing w:after="0" w:line="240" w:lineRule="auto"/>
        <w:jc w:val="both"/>
        <w:rPr>
          <w:rFonts w:ascii="Times New Roman" w:eastAsia="Times New Roman" w:hAnsi="Times New Roman"/>
          <w:color w:val="000000"/>
        </w:rPr>
      </w:pPr>
      <w:r w:rsidRPr="00B93FFD">
        <w:rPr>
          <w:rFonts w:ascii="Times New Roman" w:eastAsia="Times New Roman" w:hAnsi="Times New Roman"/>
          <w:color w:val="000000"/>
        </w:rPr>
        <w:t>Bezrecepšu veterinārās zāles.</w:t>
      </w:r>
    </w:p>
    <w:p w14:paraId="220BBFA5" w14:textId="77777777" w:rsidR="00280931" w:rsidRPr="00B93FFD" w:rsidRDefault="00280931" w:rsidP="00E14393">
      <w:pPr>
        <w:spacing w:after="0" w:line="240" w:lineRule="auto"/>
        <w:jc w:val="both"/>
        <w:rPr>
          <w:rFonts w:ascii="Times New Roman" w:eastAsia="Times New Roman" w:hAnsi="Times New Roman"/>
          <w:color w:val="000000"/>
        </w:rPr>
      </w:pPr>
    </w:p>
    <w:p w14:paraId="3946D79A" w14:textId="77777777" w:rsidR="00E14393" w:rsidRPr="00344CE2" w:rsidRDefault="00E14393" w:rsidP="00E14393">
      <w:pPr>
        <w:pStyle w:val="NoSpacing"/>
        <w:rPr>
          <w:rFonts w:ascii="Times New Roman" w:hAnsi="Times New Roman"/>
        </w:rPr>
      </w:pPr>
      <w:r w:rsidRPr="00344CE2">
        <w:rPr>
          <w:rFonts w:ascii="Times New Roman" w:hAnsi="Times New Roman"/>
        </w:rPr>
        <w:t>Lai iegūtu papildu informāciju par šīm veterinārajām zālēm, lūdzam sazināties ar reģistrācijas apliecības īpašnieka oficiālo pārstāvi:</w:t>
      </w:r>
      <w:r w:rsidRPr="00344CE2" w:rsidDel="006A07B1">
        <w:rPr>
          <w:rFonts w:ascii="Times New Roman" w:hAnsi="Times New Roman"/>
        </w:rPr>
        <w:t xml:space="preserve"> </w:t>
      </w:r>
    </w:p>
    <w:p w14:paraId="6DCA0F13" w14:textId="764D16E9" w:rsidR="00E14393" w:rsidRPr="00344CE2" w:rsidRDefault="00E14393" w:rsidP="00E14393">
      <w:pPr>
        <w:pStyle w:val="NoSpacing"/>
        <w:rPr>
          <w:rFonts w:ascii="Times New Roman" w:hAnsi="Times New Roman"/>
        </w:rPr>
      </w:pPr>
      <w:r w:rsidRPr="00344CE2">
        <w:rPr>
          <w:rFonts w:ascii="Times New Roman" w:hAnsi="Times New Roman"/>
        </w:rPr>
        <w:t xml:space="preserve">OÜ </w:t>
      </w:r>
      <w:proofErr w:type="spellStart"/>
      <w:r w:rsidRPr="00344CE2">
        <w:rPr>
          <w:rFonts w:ascii="Times New Roman" w:hAnsi="Times New Roman"/>
        </w:rPr>
        <w:t>Zoovetvaru</w:t>
      </w:r>
      <w:proofErr w:type="spellEnd"/>
      <w:r w:rsidR="00280931">
        <w:rPr>
          <w:rFonts w:ascii="Times New Roman" w:hAnsi="Times New Roman"/>
        </w:rPr>
        <w:t xml:space="preserve">, </w:t>
      </w:r>
      <w:proofErr w:type="spellStart"/>
      <w:r w:rsidRPr="00344CE2">
        <w:rPr>
          <w:rFonts w:ascii="Times New Roman" w:hAnsi="Times New Roman"/>
        </w:rPr>
        <w:t>Uusaru</w:t>
      </w:r>
      <w:proofErr w:type="spellEnd"/>
      <w:r w:rsidRPr="00344CE2">
        <w:rPr>
          <w:rFonts w:ascii="Times New Roman" w:hAnsi="Times New Roman"/>
        </w:rPr>
        <w:t xml:space="preserve"> 5</w:t>
      </w:r>
      <w:r w:rsidR="00280931">
        <w:rPr>
          <w:rFonts w:ascii="Times New Roman" w:hAnsi="Times New Roman"/>
        </w:rPr>
        <w:t>,</w:t>
      </w:r>
      <w:r w:rsidRPr="00344CE2">
        <w:rPr>
          <w:rFonts w:ascii="Times New Roman" w:hAnsi="Times New Roman"/>
        </w:rPr>
        <w:t xml:space="preserve"> </w:t>
      </w:r>
      <w:proofErr w:type="spellStart"/>
      <w:r w:rsidRPr="00344CE2">
        <w:rPr>
          <w:rFonts w:ascii="Times New Roman" w:hAnsi="Times New Roman"/>
        </w:rPr>
        <w:t>Saue</w:t>
      </w:r>
      <w:proofErr w:type="spellEnd"/>
      <w:r w:rsidR="00280931">
        <w:rPr>
          <w:rFonts w:ascii="Times New Roman" w:hAnsi="Times New Roman"/>
        </w:rPr>
        <w:t>,</w:t>
      </w:r>
      <w:r w:rsidRPr="00344CE2">
        <w:rPr>
          <w:rFonts w:ascii="Times New Roman" w:hAnsi="Times New Roman"/>
        </w:rPr>
        <w:t xml:space="preserve"> 76505</w:t>
      </w:r>
      <w:r w:rsidR="00280931">
        <w:rPr>
          <w:rFonts w:ascii="Times New Roman" w:hAnsi="Times New Roman"/>
        </w:rPr>
        <w:t>,</w:t>
      </w:r>
      <w:r w:rsidRPr="00344CE2">
        <w:rPr>
          <w:rFonts w:ascii="Times New Roman" w:hAnsi="Times New Roman"/>
        </w:rPr>
        <w:t xml:space="preserve"> Igaunija</w:t>
      </w:r>
      <w:r w:rsidR="00280931">
        <w:rPr>
          <w:rFonts w:ascii="Times New Roman" w:hAnsi="Times New Roman"/>
        </w:rPr>
        <w:t>,</w:t>
      </w:r>
      <w:r w:rsidRPr="00344CE2">
        <w:rPr>
          <w:rFonts w:ascii="Times New Roman" w:hAnsi="Times New Roman"/>
        </w:rPr>
        <w:t xml:space="preserve"> </w:t>
      </w:r>
      <w:proofErr w:type="spellStart"/>
      <w:r w:rsidRPr="00344CE2">
        <w:rPr>
          <w:rFonts w:ascii="Times New Roman" w:hAnsi="Times New Roman"/>
        </w:rPr>
        <w:t>Tel</w:t>
      </w:r>
      <w:proofErr w:type="spellEnd"/>
      <w:r w:rsidRPr="00344CE2">
        <w:rPr>
          <w:rFonts w:ascii="Times New Roman" w:hAnsi="Times New Roman"/>
        </w:rPr>
        <w:t>: + 372 56 500</w:t>
      </w:r>
      <w:r w:rsidR="00280931">
        <w:rPr>
          <w:rFonts w:ascii="Times New Roman" w:hAnsi="Times New Roman"/>
        </w:rPr>
        <w:t> </w:t>
      </w:r>
      <w:r w:rsidRPr="00344CE2">
        <w:rPr>
          <w:rFonts w:ascii="Times New Roman" w:hAnsi="Times New Roman"/>
        </w:rPr>
        <w:t>840</w:t>
      </w:r>
      <w:r w:rsidR="00280931">
        <w:rPr>
          <w:rFonts w:ascii="Times New Roman" w:hAnsi="Times New Roman"/>
        </w:rPr>
        <w:t xml:space="preserve">, </w:t>
      </w:r>
      <w:r w:rsidRPr="00344CE2">
        <w:rPr>
          <w:rFonts w:ascii="Times New Roman" w:hAnsi="Times New Roman"/>
        </w:rPr>
        <w:t>Fakss: + 372 6 709 001</w:t>
      </w:r>
    </w:p>
    <w:p w14:paraId="7BB14DD3" w14:textId="77777777" w:rsidR="00E14393" w:rsidRPr="00344CE2" w:rsidRDefault="00E14393" w:rsidP="00E14393">
      <w:pPr>
        <w:pStyle w:val="NoSpacing"/>
        <w:rPr>
          <w:rFonts w:ascii="Times New Roman" w:hAnsi="Times New Roman"/>
        </w:rPr>
      </w:pPr>
      <w:r w:rsidRPr="00344CE2">
        <w:rPr>
          <w:rFonts w:ascii="Times New Roman" w:hAnsi="Times New Roman"/>
          <w:b/>
          <w:bCs/>
        </w:rPr>
        <w:t>PARALĒLI IMPORTĒTO VETERINĀRO ZĀĻU IZPLATĪŠANAS ATĻAUJAS ĪPAŠNIEKS</w:t>
      </w:r>
      <w:r w:rsidRPr="00344CE2">
        <w:rPr>
          <w:rFonts w:ascii="Times New Roman" w:hAnsi="Times New Roman"/>
        </w:rPr>
        <w:t>:</w:t>
      </w:r>
    </w:p>
    <w:p w14:paraId="5C0396A8" w14:textId="77777777" w:rsidR="00E14393" w:rsidRPr="00344CE2" w:rsidRDefault="00E14393" w:rsidP="00E14393">
      <w:pPr>
        <w:pStyle w:val="NoSpacing"/>
        <w:rPr>
          <w:rFonts w:ascii="Times New Roman" w:hAnsi="Times New Roman"/>
        </w:rPr>
      </w:pPr>
      <w:r w:rsidRPr="00344CE2">
        <w:rPr>
          <w:rFonts w:ascii="Times New Roman" w:hAnsi="Times New Roman"/>
        </w:rPr>
        <w:t>SIA “Magnum Veterinārija”, reģ. Nr. 40003619306, Ulbrokas iela 23, Rīga, LV-1021.</w:t>
      </w:r>
    </w:p>
    <w:p w14:paraId="10B78061" w14:textId="0674D43F" w:rsidR="00E14393" w:rsidRPr="00344CE2" w:rsidRDefault="00E14393" w:rsidP="00E14393">
      <w:pPr>
        <w:pStyle w:val="NoSpacing"/>
        <w:rPr>
          <w:rFonts w:ascii="Times New Roman" w:hAnsi="Times New Roman"/>
        </w:rPr>
      </w:pPr>
      <w:r w:rsidRPr="00344CE2">
        <w:rPr>
          <w:rFonts w:ascii="Times New Roman" w:hAnsi="Times New Roman"/>
          <w:b/>
          <w:bCs/>
        </w:rPr>
        <w:t xml:space="preserve">Veterināro zāļu </w:t>
      </w:r>
      <w:proofErr w:type="spellStart"/>
      <w:r w:rsidRPr="00344CE2">
        <w:rPr>
          <w:rFonts w:ascii="Times New Roman" w:hAnsi="Times New Roman"/>
          <w:b/>
          <w:bCs/>
        </w:rPr>
        <w:t>pārmarķētājs</w:t>
      </w:r>
      <w:proofErr w:type="spellEnd"/>
      <w:r w:rsidRPr="00344CE2">
        <w:rPr>
          <w:rFonts w:ascii="Times New Roman" w:hAnsi="Times New Roman"/>
          <w:b/>
          <w:bCs/>
        </w:rPr>
        <w:t>:</w:t>
      </w:r>
      <w:r w:rsidRPr="00344CE2">
        <w:rPr>
          <w:rFonts w:ascii="Times New Roman" w:hAnsi="Times New Roman"/>
        </w:rPr>
        <w:t xml:space="preserve"> SIA „</w:t>
      </w:r>
      <w:proofErr w:type="spellStart"/>
      <w:r w:rsidRPr="00344CE2">
        <w:rPr>
          <w:rFonts w:ascii="Times New Roman" w:hAnsi="Times New Roman"/>
        </w:rPr>
        <w:t>Magnum</w:t>
      </w:r>
      <w:proofErr w:type="spellEnd"/>
      <w:r w:rsidRPr="00344CE2">
        <w:rPr>
          <w:rFonts w:ascii="Times New Roman" w:hAnsi="Times New Roman"/>
        </w:rPr>
        <w:t xml:space="preserve"> </w:t>
      </w:r>
      <w:proofErr w:type="spellStart"/>
      <w:r w:rsidRPr="00344CE2">
        <w:rPr>
          <w:rFonts w:ascii="Times New Roman" w:hAnsi="Times New Roman"/>
        </w:rPr>
        <w:t>Medical</w:t>
      </w:r>
      <w:proofErr w:type="spellEnd"/>
      <w:r w:rsidRPr="00344CE2">
        <w:rPr>
          <w:rFonts w:ascii="Times New Roman" w:hAnsi="Times New Roman"/>
        </w:rPr>
        <w:t>”</w:t>
      </w:r>
    </w:p>
    <w:p w14:paraId="6AC4B871" w14:textId="4AFF2211" w:rsidR="00E14393" w:rsidRPr="00344CE2" w:rsidRDefault="00E14393" w:rsidP="00E14393">
      <w:pPr>
        <w:pStyle w:val="NoSpacing"/>
        <w:rPr>
          <w:rFonts w:ascii="Times New Roman" w:hAnsi="Times New Roman"/>
        </w:rPr>
      </w:pPr>
      <w:r w:rsidRPr="00344CE2">
        <w:rPr>
          <w:rFonts w:ascii="Times New Roman" w:hAnsi="Times New Roman"/>
          <w:b/>
          <w:bCs/>
        </w:rPr>
        <w:t>Pārmarķēšanas sērijas Nr</w:t>
      </w:r>
      <w:r w:rsidRPr="00344CE2">
        <w:rPr>
          <w:rFonts w:ascii="Times New Roman" w:hAnsi="Times New Roman"/>
        </w:rPr>
        <w:t>.:</w:t>
      </w:r>
    </w:p>
    <w:p w14:paraId="17E4B187" w14:textId="6CFF77D0" w:rsidR="00FC4AB0" w:rsidRPr="00344CE2" w:rsidRDefault="00E14393" w:rsidP="00E14393">
      <w:pPr>
        <w:pStyle w:val="NoSpacing"/>
        <w:rPr>
          <w:rFonts w:ascii="Times New Roman" w:hAnsi="Times New Roman"/>
        </w:rPr>
      </w:pPr>
      <w:r w:rsidRPr="00344CE2">
        <w:rPr>
          <w:rFonts w:ascii="Times New Roman" w:hAnsi="Times New Roman"/>
        </w:rPr>
        <w:t xml:space="preserve">Paralēli importēto veterināro zāļu reģistrācijas numurs Latvijas veterināro zāļu reģistrā: </w:t>
      </w:r>
      <w:r w:rsidR="00280931" w:rsidRPr="00280931">
        <w:rPr>
          <w:rFonts w:ascii="Times New Roman" w:hAnsi="Times New Roman"/>
        </w:rPr>
        <w:t>V/I/21/0045</w:t>
      </w:r>
    </w:p>
    <w:sectPr w:rsidR="00FC4AB0" w:rsidRPr="00344CE2" w:rsidSect="00FC4AB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393"/>
    <w:rsid w:val="00280931"/>
    <w:rsid w:val="00344CE2"/>
    <w:rsid w:val="008116DF"/>
    <w:rsid w:val="008E23D3"/>
    <w:rsid w:val="00902052"/>
    <w:rsid w:val="00A6440B"/>
    <w:rsid w:val="00A80535"/>
    <w:rsid w:val="00B67662"/>
    <w:rsid w:val="00E14393"/>
    <w:rsid w:val="00FC4A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DE77E"/>
  <w15:docId w15:val="{592B3FAE-B63F-4031-B888-4B070D6D0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4393"/>
    <w:pPr>
      <w:spacing w:after="160" w:line="259"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4393"/>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B676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66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5220</Words>
  <Characters>2976</Characters>
  <DocSecurity>0</DocSecurity>
  <Lines>24</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