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96FE429" w14:textId="6D5D54D0" w:rsidR="003777D9" w:rsidRPr="00B21271" w:rsidRDefault="008B2E90">
      <w:pPr>
        <w:tabs>
          <w:tab w:val="left" w:pos="-1440"/>
          <w:tab w:val="left" w:pos="-720"/>
        </w:tabs>
        <w:jc w:val="center"/>
        <w:rPr>
          <w:b/>
          <w:szCs w:val="22"/>
        </w:rPr>
      </w:pPr>
      <w:r>
        <w:rPr>
          <w:b/>
          <w:szCs w:val="22"/>
        </w:rPr>
        <w:t xml:space="preserve">VETERINĀRO </w:t>
      </w:r>
      <w:r w:rsidR="003777D9" w:rsidRPr="00B21271">
        <w:rPr>
          <w:b/>
          <w:szCs w:val="22"/>
        </w:rPr>
        <w:t>ZĀĻU APRAKSTS</w:t>
      </w:r>
    </w:p>
    <w:p w14:paraId="3490EF82" w14:textId="0299DB7F" w:rsidR="003777D9" w:rsidRPr="00B21271" w:rsidRDefault="00B21271">
      <w:pPr>
        <w:tabs>
          <w:tab w:val="left" w:pos="-1440"/>
          <w:tab w:val="left" w:pos="-720"/>
        </w:tabs>
        <w:jc w:val="center"/>
        <w:rPr>
          <w:b/>
          <w:szCs w:val="22"/>
        </w:rPr>
      </w:pPr>
      <w:r w:rsidRPr="00B21271">
        <w:rPr>
          <w:b/>
          <w:szCs w:val="22"/>
        </w:rPr>
        <w:t>V/MRP/18/00</w:t>
      </w:r>
      <w:r w:rsidR="009630F9">
        <w:rPr>
          <w:b/>
          <w:szCs w:val="22"/>
        </w:rPr>
        <w:t>52</w:t>
      </w:r>
    </w:p>
    <w:p w14:paraId="31DB59E3" w14:textId="17E0D16F" w:rsidR="003B256D" w:rsidRPr="00B21271" w:rsidRDefault="003777D9" w:rsidP="00B21271">
      <w:pPr>
        <w:pStyle w:val="Heading1"/>
        <w:jc w:val="both"/>
        <w:rPr>
          <w:sz w:val="22"/>
          <w:szCs w:val="22"/>
        </w:rPr>
      </w:pPr>
      <w:bookmarkStart w:id="0" w:name="_Toc97112325"/>
      <w:r w:rsidRPr="00B21271">
        <w:rPr>
          <w:sz w:val="22"/>
          <w:szCs w:val="22"/>
        </w:rPr>
        <w:t>1.</w:t>
      </w:r>
      <w:r w:rsidRPr="00B21271">
        <w:rPr>
          <w:sz w:val="22"/>
          <w:szCs w:val="22"/>
        </w:rPr>
        <w:tab/>
        <w:t>VETERINĀRO ZĀĻU NOSAUKUMS</w:t>
      </w:r>
      <w:bookmarkEnd w:id="0"/>
    </w:p>
    <w:p w14:paraId="24D4E5C1" w14:textId="638658C6" w:rsidR="000D7050" w:rsidRDefault="003777D9">
      <w:pPr>
        <w:pStyle w:val="Header"/>
        <w:tabs>
          <w:tab w:val="clear" w:pos="4703"/>
          <w:tab w:val="clear" w:pos="9406"/>
          <w:tab w:val="left" w:pos="-1440"/>
          <w:tab w:val="left" w:pos="-720"/>
        </w:tabs>
        <w:jc w:val="both"/>
        <w:rPr>
          <w:szCs w:val="22"/>
        </w:rPr>
      </w:pPr>
      <w:r w:rsidRPr="00B21271">
        <w:rPr>
          <w:b/>
          <w:szCs w:val="22"/>
        </w:rPr>
        <w:t>Forthyron flavour</w:t>
      </w:r>
      <w:r w:rsidRPr="00B21271">
        <w:rPr>
          <w:szCs w:val="22"/>
        </w:rPr>
        <w:t xml:space="preserve"> </w:t>
      </w:r>
      <w:r w:rsidR="009630F9">
        <w:rPr>
          <w:szCs w:val="22"/>
        </w:rPr>
        <w:t>8</w:t>
      </w:r>
      <w:r w:rsidRPr="00B21271">
        <w:rPr>
          <w:szCs w:val="22"/>
        </w:rPr>
        <w:t xml:space="preserve">00 mikrogramu tabletes suņiem </w:t>
      </w:r>
    </w:p>
    <w:p w14:paraId="0CABFBD8" w14:textId="3CE93781" w:rsidR="003B256D" w:rsidRDefault="003B256D">
      <w:pPr>
        <w:pStyle w:val="Header"/>
        <w:tabs>
          <w:tab w:val="clear" w:pos="4703"/>
          <w:tab w:val="clear" w:pos="9406"/>
          <w:tab w:val="left" w:pos="-1440"/>
          <w:tab w:val="left" w:pos="-720"/>
        </w:tabs>
        <w:jc w:val="both"/>
        <w:rPr>
          <w:szCs w:val="22"/>
        </w:rPr>
      </w:pPr>
    </w:p>
    <w:p w14:paraId="0125DED6" w14:textId="6E77D25C" w:rsidR="003B256D" w:rsidRPr="00B21271" w:rsidRDefault="003777D9" w:rsidP="00B21271">
      <w:pPr>
        <w:pStyle w:val="Heading1"/>
        <w:jc w:val="both"/>
        <w:rPr>
          <w:sz w:val="22"/>
          <w:szCs w:val="22"/>
        </w:rPr>
      </w:pPr>
      <w:bookmarkStart w:id="1" w:name="_Toc97112326"/>
      <w:r w:rsidRPr="00B21271">
        <w:rPr>
          <w:sz w:val="22"/>
          <w:szCs w:val="22"/>
        </w:rPr>
        <w:t>2.</w:t>
      </w:r>
      <w:r w:rsidRPr="00B21271">
        <w:rPr>
          <w:sz w:val="22"/>
          <w:szCs w:val="22"/>
        </w:rPr>
        <w:tab/>
        <w:t>KVALITATĪVAIS UN KVANTITATĪVAIS SASTĀVS</w:t>
      </w:r>
      <w:bookmarkEnd w:id="1"/>
    </w:p>
    <w:p w14:paraId="44DD84A9" w14:textId="4F5ED0E2" w:rsidR="00B751F0" w:rsidRPr="00B21271" w:rsidRDefault="00B751F0" w:rsidP="00B21271">
      <w:pPr>
        <w:jc w:val="both"/>
        <w:rPr>
          <w:snapToGrid w:val="0"/>
          <w:szCs w:val="22"/>
        </w:rPr>
      </w:pPr>
      <w:r w:rsidRPr="00B21271">
        <w:rPr>
          <w:snapToGrid w:val="0"/>
          <w:szCs w:val="22"/>
        </w:rPr>
        <w:t xml:space="preserve">Viena tablete satur: </w:t>
      </w:r>
    </w:p>
    <w:p w14:paraId="013718D9" w14:textId="77777777" w:rsidR="00F57ECC" w:rsidRPr="00B21271" w:rsidRDefault="00F57ECC">
      <w:pPr>
        <w:jc w:val="both"/>
        <w:rPr>
          <w:szCs w:val="22"/>
        </w:rPr>
      </w:pPr>
      <w:r w:rsidRPr="00B21271">
        <w:rPr>
          <w:b/>
          <w:szCs w:val="22"/>
        </w:rPr>
        <w:t>Aktīvā viela</w:t>
      </w:r>
      <w:r w:rsidRPr="00B21271">
        <w:rPr>
          <w:szCs w:val="22"/>
        </w:rPr>
        <w:t>:</w:t>
      </w:r>
    </w:p>
    <w:p w14:paraId="39C0DAF4" w14:textId="457A4F7B" w:rsidR="00416542" w:rsidRPr="00B21271" w:rsidRDefault="009630F9" w:rsidP="00B21271">
      <w:pPr>
        <w:jc w:val="both"/>
        <w:rPr>
          <w:szCs w:val="22"/>
        </w:rPr>
      </w:pPr>
      <w:r>
        <w:rPr>
          <w:szCs w:val="22"/>
        </w:rPr>
        <w:t>8</w:t>
      </w:r>
      <w:r w:rsidR="003777D9" w:rsidRPr="00B21271">
        <w:rPr>
          <w:szCs w:val="22"/>
        </w:rPr>
        <w:t xml:space="preserve">00 mikrogrami levotiroksīna nātrija sāls katrā tabletē, kas līdzvērtīgs </w:t>
      </w:r>
      <w:r>
        <w:rPr>
          <w:szCs w:val="22"/>
        </w:rPr>
        <w:t>77</w:t>
      </w:r>
      <w:r w:rsidR="00945329">
        <w:rPr>
          <w:szCs w:val="22"/>
        </w:rPr>
        <w:t>8</w:t>
      </w:r>
      <w:r w:rsidR="00814F61" w:rsidRPr="00B21271">
        <w:rPr>
          <w:szCs w:val="22"/>
        </w:rPr>
        <w:t> </w:t>
      </w:r>
      <w:r w:rsidR="003777D9" w:rsidRPr="00B21271">
        <w:rPr>
          <w:szCs w:val="22"/>
        </w:rPr>
        <w:t>mikrogramiem levotiroksīna</w:t>
      </w:r>
    </w:p>
    <w:p w14:paraId="6D4E6EBE" w14:textId="77777777" w:rsidR="00281FE9" w:rsidRPr="00B21271" w:rsidRDefault="00281FE9" w:rsidP="00B21271">
      <w:pPr>
        <w:jc w:val="both"/>
        <w:rPr>
          <w:szCs w:val="22"/>
        </w:rPr>
      </w:pPr>
    </w:p>
    <w:p w14:paraId="3148B687" w14:textId="6C3534D9" w:rsidR="003777D9" w:rsidRDefault="003777D9">
      <w:pPr>
        <w:jc w:val="both"/>
        <w:rPr>
          <w:szCs w:val="22"/>
        </w:rPr>
      </w:pPr>
      <w:r w:rsidRPr="00B21271">
        <w:rPr>
          <w:szCs w:val="22"/>
        </w:rPr>
        <w:t>Pilnu palīgvielu sarakstu skatīt 6.1. apakšpunktā.</w:t>
      </w:r>
    </w:p>
    <w:p w14:paraId="469CE4A5" w14:textId="77777777" w:rsidR="003B256D" w:rsidRPr="00B21271" w:rsidRDefault="003B256D" w:rsidP="00B21271">
      <w:pPr>
        <w:jc w:val="both"/>
        <w:rPr>
          <w:szCs w:val="22"/>
        </w:rPr>
      </w:pPr>
    </w:p>
    <w:p w14:paraId="17FD318D" w14:textId="0B2A3D21" w:rsidR="003B256D" w:rsidRPr="00B21271" w:rsidRDefault="003777D9" w:rsidP="00B21271">
      <w:pPr>
        <w:pStyle w:val="Heading1"/>
        <w:jc w:val="both"/>
        <w:rPr>
          <w:sz w:val="22"/>
          <w:szCs w:val="22"/>
        </w:rPr>
      </w:pPr>
      <w:bookmarkStart w:id="2" w:name="_Toc97112327"/>
      <w:r w:rsidRPr="00B21271">
        <w:rPr>
          <w:sz w:val="22"/>
          <w:szCs w:val="22"/>
        </w:rPr>
        <w:t>3.</w:t>
      </w:r>
      <w:r w:rsidRPr="00B21271">
        <w:rPr>
          <w:sz w:val="22"/>
          <w:szCs w:val="22"/>
        </w:rPr>
        <w:tab/>
        <w:t>ZĀĻU FORMA</w:t>
      </w:r>
      <w:bookmarkEnd w:id="2"/>
    </w:p>
    <w:p w14:paraId="07EDCD4E" w14:textId="77777777" w:rsidR="003777D9" w:rsidRPr="00B21271" w:rsidRDefault="003777D9" w:rsidP="00B21271">
      <w:pPr>
        <w:tabs>
          <w:tab w:val="left" w:pos="-1440"/>
          <w:tab w:val="left" w:pos="-720"/>
        </w:tabs>
        <w:jc w:val="both"/>
        <w:rPr>
          <w:szCs w:val="22"/>
        </w:rPr>
      </w:pPr>
      <w:r w:rsidRPr="00B21271">
        <w:rPr>
          <w:szCs w:val="22"/>
        </w:rPr>
        <w:t xml:space="preserve">Tablete. </w:t>
      </w:r>
    </w:p>
    <w:p w14:paraId="48E9E4D4" w14:textId="0048074A" w:rsidR="007969F7" w:rsidRPr="00B21271" w:rsidRDefault="007969F7">
      <w:pPr>
        <w:jc w:val="both"/>
        <w:rPr>
          <w:szCs w:val="22"/>
        </w:rPr>
      </w:pPr>
      <w:r w:rsidRPr="00B21271">
        <w:rPr>
          <w:szCs w:val="22"/>
        </w:rPr>
        <w:t>Gandrīz balta, apaļa tablete ar brūniem punktiņiem, krust</w:t>
      </w:r>
      <w:r w:rsidR="00B55209">
        <w:rPr>
          <w:szCs w:val="22"/>
        </w:rPr>
        <w:t>veida</w:t>
      </w:r>
      <w:r w:rsidRPr="00B21271">
        <w:rPr>
          <w:szCs w:val="22"/>
        </w:rPr>
        <w:t xml:space="preserve"> dalījuma līniju un rievām sānos. </w:t>
      </w:r>
    </w:p>
    <w:p w14:paraId="0B2782A5" w14:textId="664C610C" w:rsidR="003B256D" w:rsidRDefault="002127E0" w:rsidP="00B21271">
      <w:pPr>
        <w:jc w:val="both"/>
        <w:rPr>
          <w:szCs w:val="22"/>
        </w:rPr>
      </w:pPr>
      <w:r w:rsidRPr="00B21271">
        <w:rPr>
          <w:szCs w:val="22"/>
        </w:rPr>
        <w:t>Tablet</w:t>
      </w:r>
      <w:r w:rsidR="007107F9">
        <w:rPr>
          <w:szCs w:val="22"/>
        </w:rPr>
        <w:t>i</w:t>
      </w:r>
      <w:r w:rsidRPr="00B21271">
        <w:rPr>
          <w:szCs w:val="22"/>
        </w:rPr>
        <w:t xml:space="preserve"> var sadalīt </w:t>
      </w:r>
      <w:r w:rsidR="00B55209">
        <w:rPr>
          <w:szCs w:val="22"/>
        </w:rPr>
        <w:t>divās</w:t>
      </w:r>
      <w:r w:rsidRPr="00B21271">
        <w:rPr>
          <w:szCs w:val="22"/>
        </w:rPr>
        <w:t xml:space="preserve"> vai četrās daļās.</w:t>
      </w:r>
    </w:p>
    <w:p w14:paraId="700BAE4A" w14:textId="77777777" w:rsidR="00DC4249" w:rsidRPr="00B21271" w:rsidRDefault="00DC4249">
      <w:pPr>
        <w:jc w:val="both"/>
        <w:rPr>
          <w:szCs w:val="22"/>
        </w:rPr>
      </w:pPr>
    </w:p>
    <w:p w14:paraId="28E6628E" w14:textId="7D5E0044" w:rsidR="003B256D" w:rsidRPr="00B21271" w:rsidRDefault="003777D9" w:rsidP="00B21271">
      <w:pPr>
        <w:pStyle w:val="Heading1"/>
        <w:jc w:val="both"/>
        <w:rPr>
          <w:sz w:val="22"/>
          <w:szCs w:val="22"/>
        </w:rPr>
      </w:pPr>
      <w:bookmarkStart w:id="3" w:name="_Toc97112331"/>
      <w:r w:rsidRPr="00B21271">
        <w:rPr>
          <w:sz w:val="22"/>
          <w:szCs w:val="22"/>
        </w:rPr>
        <w:t>4.</w:t>
      </w:r>
      <w:r w:rsidRPr="00B21271">
        <w:rPr>
          <w:sz w:val="22"/>
          <w:szCs w:val="22"/>
        </w:rPr>
        <w:tab/>
        <w:t>KLĪNISKĀ INFORMĀCIJA</w:t>
      </w:r>
      <w:bookmarkEnd w:id="3"/>
    </w:p>
    <w:p w14:paraId="57BD40BE" w14:textId="7C54522D" w:rsidR="003B256D" w:rsidRPr="00B21271" w:rsidRDefault="003777D9" w:rsidP="00B21271">
      <w:pPr>
        <w:pStyle w:val="Heading2"/>
        <w:jc w:val="both"/>
        <w:rPr>
          <w:szCs w:val="22"/>
        </w:rPr>
      </w:pPr>
      <w:bookmarkStart w:id="4" w:name="_Toc97112332"/>
      <w:r w:rsidRPr="00B21271">
        <w:rPr>
          <w:szCs w:val="22"/>
        </w:rPr>
        <w:t>4.1</w:t>
      </w:r>
      <w:r w:rsidRPr="00DC4249">
        <w:rPr>
          <w:szCs w:val="22"/>
        </w:rPr>
        <w:tab/>
      </w:r>
      <w:r w:rsidRPr="00B21271">
        <w:rPr>
          <w:szCs w:val="22"/>
        </w:rPr>
        <w:t>Mērķa sugas</w:t>
      </w:r>
      <w:bookmarkEnd w:id="4"/>
    </w:p>
    <w:p w14:paraId="7B2AAC4D" w14:textId="080C4EFC" w:rsidR="003B256D" w:rsidRPr="00B21271" w:rsidRDefault="003777D9" w:rsidP="00B21271">
      <w:pPr>
        <w:tabs>
          <w:tab w:val="left" w:pos="-1440"/>
          <w:tab w:val="left" w:pos="-720"/>
        </w:tabs>
        <w:jc w:val="both"/>
        <w:rPr>
          <w:szCs w:val="22"/>
        </w:rPr>
      </w:pPr>
      <w:r w:rsidRPr="00B21271">
        <w:rPr>
          <w:szCs w:val="22"/>
        </w:rPr>
        <w:t>Suņi.</w:t>
      </w:r>
    </w:p>
    <w:p w14:paraId="215B59A5" w14:textId="01788829" w:rsidR="003B256D" w:rsidRPr="00B21271" w:rsidRDefault="003777D9" w:rsidP="00B21271">
      <w:pPr>
        <w:pStyle w:val="Heading2"/>
        <w:jc w:val="both"/>
        <w:rPr>
          <w:szCs w:val="22"/>
        </w:rPr>
      </w:pPr>
      <w:bookmarkStart w:id="5" w:name="_Toc97112333"/>
      <w:r w:rsidRPr="00B21271">
        <w:rPr>
          <w:szCs w:val="22"/>
        </w:rPr>
        <w:t>4.2</w:t>
      </w:r>
      <w:r w:rsidRPr="00DC4249">
        <w:rPr>
          <w:szCs w:val="22"/>
        </w:rPr>
        <w:tab/>
      </w:r>
      <w:r w:rsidRPr="00B21271">
        <w:rPr>
          <w:szCs w:val="22"/>
        </w:rPr>
        <w:t>Lietošanas indikācijas</w:t>
      </w:r>
      <w:bookmarkEnd w:id="5"/>
      <w:r w:rsidRPr="00B21271">
        <w:rPr>
          <w:szCs w:val="22"/>
        </w:rPr>
        <w:t>, norādot mērķa sugas</w:t>
      </w:r>
    </w:p>
    <w:p w14:paraId="513DC06F" w14:textId="3488DC4F" w:rsidR="00DC4249" w:rsidRPr="00B21271" w:rsidRDefault="003777D9" w:rsidP="00B21271">
      <w:pPr>
        <w:tabs>
          <w:tab w:val="left" w:pos="720"/>
          <w:tab w:val="left" w:pos="1440"/>
          <w:tab w:val="left" w:pos="2160"/>
          <w:tab w:val="left" w:pos="2880"/>
          <w:tab w:val="left" w:pos="3600"/>
          <w:tab w:val="left" w:pos="4320"/>
          <w:tab w:val="left" w:pos="4896"/>
          <w:tab w:val="left" w:pos="5760"/>
          <w:tab w:val="left" w:pos="6480"/>
          <w:tab w:val="left" w:pos="7200"/>
          <w:tab w:val="left" w:pos="7920"/>
          <w:tab w:val="left" w:pos="8640"/>
          <w:tab w:val="left" w:pos="9360"/>
          <w:tab w:val="left" w:pos="10080"/>
        </w:tabs>
        <w:jc w:val="both"/>
        <w:rPr>
          <w:szCs w:val="22"/>
        </w:rPr>
      </w:pPr>
      <w:r w:rsidRPr="00B21271">
        <w:rPr>
          <w:szCs w:val="22"/>
        </w:rPr>
        <w:t>Hipotireozes ārstēšanai suņiem.</w:t>
      </w:r>
    </w:p>
    <w:p w14:paraId="2F627819" w14:textId="0912A0B1" w:rsidR="00DC4249" w:rsidRPr="00B21271" w:rsidRDefault="003777D9" w:rsidP="00B21271">
      <w:pPr>
        <w:pStyle w:val="Heading2"/>
        <w:jc w:val="both"/>
        <w:rPr>
          <w:szCs w:val="22"/>
        </w:rPr>
      </w:pPr>
      <w:bookmarkStart w:id="6" w:name="_Toc97112334"/>
      <w:r w:rsidRPr="00B21271">
        <w:rPr>
          <w:szCs w:val="22"/>
        </w:rPr>
        <w:t>4.3</w:t>
      </w:r>
      <w:r w:rsidRPr="00DC4249">
        <w:rPr>
          <w:szCs w:val="22"/>
        </w:rPr>
        <w:tab/>
      </w:r>
      <w:r w:rsidRPr="00B21271">
        <w:rPr>
          <w:szCs w:val="22"/>
        </w:rPr>
        <w:t>Kontrindikācijas</w:t>
      </w:r>
      <w:bookmarkEnd w:id="6"/>
    </w:p>
    <w:p w14:paraId="3E922F9B" w14:textId="3F21BF4B" w:rsidR="003777D9" w:rsidRPr="00B21271" w:rsidRDefault="003777D9" w:rsidP="00B21271">
      <w:pPr>
        <w:tabs>
          <w:tab w:val="left" w:pos="-1440"/>
          <w:tab w:val="left" w:pos="-720"/>
        </w:tabs>
        <w:jc w:val="both"/>
        <w:rPr>
          <w:szCs w:val="22"/>
        </w:rPr>
      </w:pPr>
      <w:r w:rsidRPr="00B21271">
        <w:rPr>
          <w:szCs w:val="22"/>
        </w:rPr>
        <w:t>Nelietot suņiem</w:t>
      </w:r>
      <w:r w:rsidR="007107F9">
        <w:rPr>
          <w:szCs w:val="22"/>
        </w:rPr>
        <w:t xml:space="preserve"> ar</w:t>
      </w:r>
      <w:r w:rsidRPr="00B21271">
        <w:rPr>
          <w:szCs w:val="22"/>
        </w:rPr>
        <w:t xml:space="preserve"> neārstēt</w:t>
      </w:r>
      <w:r w:rsidR="007107F9">
        <w:rPr>
          <w:szCs w:val="22"/>
        </w:rPr>
        <w:t>u</w:t>
      </w:r>
      <w:r w:rsidRPr="00B21271">
        <w:rPr>
          <w:szCs w:val="22"/>
        </w:rPr>
        <w:t xml:space="preserve"> virsnieru garozas mazspēj</w:t>
      </w:r>
      <w:r w:rsidR="00553660">
        <w:rPr>
          <w:szCs w:val="22"/>
        </w:rPr>
        <w:t>u</w:t>
      </w:r>
      <w:r w:rsidRPr="00B21271">
        <w:rPr>
          <w:szCs w:val="22"/>
        </w:rPr>
        <w:t xml:space="preserve">. </w:t>
      </w:r>
    </w:p>
    <w:p w14:paraId="5A404E50" w14:textId="4A882522" w:rsidR="00DC4249" w:rsidRPr="00B21271" w:rsidRDefault="007F48CE" w:rsidP="00B21271">
      <w:pPr>
        <w:tabs>
          <w:tab w:val="left" w:pos="-1440"/>
          <w:tab w:val="left" w:pos="-720"/>
        </w:tabs>
        <w:jc w:val="both"/>
        <w:rPr>
          <w:szCs w:val="22"/>
        </w:rPr>
      </w:pPr>
      <w:r w:rsidRPr="00B21271">
        <w:rPr>
          <w:szCs w:val="22"/>
        </w:rPr>
        <w:t>Nelietot gadījumos, ja konstatēta pastiprināta jutība pret levotiroksīna nātrija sāli vai pret kādu no palīgvielām.</w:t>
      </w:r>
    </w:p>
    <w:p w14:paraId="75423E4E" w14:textId="0624BD8B" w:rsidR="00DC4249" w:rsidRPr="00B21271" w:rsidRDefault="003777D9" w:rsidP="00B21271">
      <w:pPr>
        <w:pStyle w:val="Heading2"/>
        <w:jc w:val="both"/>
        <w:rPr>
          <w:szCs w:val="22"/>
        </w:rPr>
      </w:pPr>
      <w:r w:rsidRPr="00B21271">
        <w:rPr>
          <w:szCs w:val="22"/>
        </w:rPr>
        <w:t>4.4</w:t>
      </w:r>
      <w:r w:rsidRPr="00DC4249">
        <w:rPr>
          <w:szCs w:val="22"/>
        </w:rPr>
        <w:tab/>
      </w:r>
      <w:r w:rsidRPr="00B21271">
        <w:rPr>
          <w:szCs w:val="22"/>
        </w:rPr>
        <w:t>Īpaši brīdinājumi katrai mērķa sugai</w:t>
      </w:r>
    </w:p>
    <w:p w14:paraId="0019EA5D" w14:textId="70092781" w:rsidR="003777D9" w:rsidRDefault="003777D9">
      <w:pPr>
        <w:tabs>
          <w:tab w:val="left" w:pos="-1440"/>
          <w:tab w:val="left" w:pos="-720"/>
        </w:tabs>
        <w:jc w:val="both"/>
        <w:rPr>
          <w:szCs w:val="22"/>
        </w:rPr>
      </w:pPr>
      <w:r w:rsidRPr="00B21271">
        <w:rPr>
          <w:szCs w:val="22"/>
        </w:rPr>
        <w:t xml:space="preserve">Hipotireozes diagnoze jāapstiprina ar atbilstošiem izmeklējumiem. </w:t>
      </w:r>
    </w:p>
    <w:p w14:paraId="2A3D74E7" w14:textId="77777777" w:rsidR="00DC4249" w:rsidRPr="00B21271" w:rsidRDefault="00DC4249" w:rsidP="00B21271">
      <w:pPr>
        <w:tabs>
          <w:tab w:val="left" w:pos="-1440"/>
          <w:tab w:val="left" w:pos="-720"/>
        </w:tabs>
        <w:jc w:val="both"/>
        <w:rPr>
          <w:szCs w:val="22"/>
        </w:rPr>
      </w:pPr>
    </w:p>
    <w:p w14:paraId="7D40B43E" w14:textId="0E872FBF" w:rsidR="003777D9" w:rsidRDefault="003777D9" w:rsidP="00B21271">
      <w:pPr>
        <w:pStyle w:val="Heading2"/>
        <w:spacing w:before="0" w:after="0"/>
        <w:jc w:val="both"/>
        <w:rPr>
          <w:szCs w:val="22"/>
        </w:rPr>
      </w:pPr>
      <w:bookmarkStart w:id="7" w:name="_Toc97112336"/>
      <w:r w:rsidRPr="00B21271">
        <w:rPr>
          <w:szCs w:val="22"/>
        </w:rPr>
        <w:t>4.5</w:t>
      </w:r>
      <w:r w:rsidRPr="00DC4249">
        <w:rPr>
          <w:szCs w:val="22"/>
        </w:rPr>
        <w:tab/>
      </w:r>
      <w:r w:rsidRPr="00B21271">
        <w:rPr>
          <w:szCs w:val="22"/>
        </w:rPr>
        <w:t>Īpaši piesardzības pasākumi lietošanā</w:t>
      </w:r>
      <w:bookmarkEnd w:id="7"/>
    </w:p>
    <w:p w14:paraId="733F74FF" w14:textId="77777777" w:rsidR="00DC4249" w:rsidRPr="00B21271" w:rsidRDefault="00DC4249" w:rsidP="00B21271">
      <w:pPr>
        <w:jc w:val="both"/>
      </w:pPr>
    </w:p>
    <w:p w14:paraId="3D375365" w14:textId="68A2BE6C" w:rsidR="00DC4249" w:rsidRPr="00B21271" w:rsidRDefault="003777D9" w:rsidP="00B21271">
      <w:pPr>
        <w:tabs>
          <w:tab w:val="left" w:pos="-1440"/>
          <w:tab w:val="left" w:pos="-720"/>
        </w:tabs>
        <w:jc w:val="both"/>
        <w:rPr>
          <w:szCs w:val="22"/>
          <w:u w:val="single"/>
        </w:rPr>
      </w:pPr>
      <w:r w:rsidRPr="00B21271">
        <w:rPr>
          <w:szCs w:val="22"/>
          <w:u w:val="single"/>
        </w:rPr>
        <w:t>Īpaši piesardzības pasākumi, lietojot dzīvniekiem</w:t>
      </w:r>
    </w:p>
    <w:p w14:paraId="2A988D66" w14:textId="50B4BD2C" w:rsidR="003777D9" w:rsidRDefault="004D58C4" w:rsidP="00C12BB9">
      <w:pPr>
        <w:tabs>
          <w:tab w:val="left" w:pos="-1440"/>
          <w:tab w:val="left" w:pos="-720"/>
        </w:tabs>
        <w:jc w:val="both"/>
        <w:rPr>
          <w:szCs w:val="22"/>
        </w:rPr>
      </w:pPr>
      <w:r w:rsidRPr="00B21271">
        <w:rPr>
          <w:szCs w:val="22"/>
        </w:rPr>
        <w:t xml:space="preserve">Tabletes ir aromatizētas. Lai novērstu nejaušu norīšanu, uzglabāt tabletes dzīvniekiem nepieejamā vietā. </w:t>
      </w:r>
      <w:bookmarkStart w:id="8" w:name="_Hlk522797091"/>
      <w:r w:rsidRPr="00B21271">
        <w:rPr>
          <w:szCs w:val="22"/>
        </w:rPr>
        <w:t xml:space="preserve">Pēkšņi radusies pastiprināta </w:t>
      </w:r>
      <w:r w:rsidR="006271A6">
        <w:rPr>
          <w:szCs w:val="22"/>
        </w:rPr>
        <w:t>nepieciešamība</w:t>
      </w:r>
      <w:r w:rsidR="006271A6" w:rsidRPr="00B21271">
        <w:rPr>
          <w:szCs w:val="22"/>
        </w:rPr>
        <w:t xml:space="preserve"> </w:t>
      </w:r>
      <w:r w:rsidRPr="00B21271">
        <w:rPr>
          <w:szCs w:val="22"/>
        </w:rPr>
        <w:t xml:space="preserve">pēc skābekļa perifērajos audos vienlaikus ar levotiroksīna nātrija sāls hronotropo iedarbību var veicināt novājinātas sirds pārslodzi, izraisot hroniskas sirds mazspējas simptomus un dekompensāciju. Suņiem ar pavājinātu vairogdziedzera funkciju, kuri slimo ar virsnieru garozas mazspēju, ir samazināta spēja metabolizēt levotiroksīna nātrija sāli, un tādēļ </w:t>
      </w:r>
      <w:r w:rsidR="009A3F70">
        <w:rPr>
          <w:szCs w:val="22"/>
        </w:rPr>
        <w:t>ir</w:t>
      </w:r>
      <w:r w:rsidR="009A3F70" w:rsidRPr="00B21271">
        <w:rPr>
          <w:szCs w:val="22"/>
        </w:rPr>
        <w:t xml:space="preserve"> </w:t>
      </w:r>
      <w:r w:rsidRPr="00B21271">
        <w:rPr>
          <w:szCs w:val="22"/>
        </w:rPr>
        <w:t xml:space="preserve">paaugstināts tireotoksikozes risks. </w:t>
      </w:r>
      <w:bookmarkEnd w:id="8"/>
      <w:r w:rsidRPr="00B21271">
        <w:rPr>
          <w:szCs w:val="22"/>
        </w:rPr>
        <w:t xml:space="preserve">Suņiem, kuriem vienlaikus ir virsnieru garozas mazspēja un hipotireoze, pirms ārstēšanas ar levotiroksīna nātrija sāli ir nepieciešama stabilizācija ar glikokortikoīdu un minerālkortikoīdu terapiju, lai novērstu strauju virsnieru garozas mazspējas krīzi. Pēc tam ir ieteicams atkārtot vairogdziedzera </w:t>
      </w:r>
      <w:r w:rsidR="006271A6">
        <w:rPr>
          <w:szCs w:val="22"/>
        </w:rPr>
        <w:t>darbības pārbaudes</w:t>
      </w:r>
      <w:r w:rsidRPr="00B21271">
        <w:rPr>
          <w:szCs w:val="22"/>
        </w:rPr>
        <w:t xml:space="preserve"> testus un pakāpeniski uzsākt levotiroksīna terapiju</w:t>
      </w:r>
      <w:r w:rsidR="006271A6">
        <w:rPr>
          <w:szCs w:val="22"/>
        </w:rPr>
        <w:t xml:space="preserve">, </w:t>
      </w:r>
      <w:r w:rsidRPr="00B21271">
        <w:rPr>
          <w:szCs w:val="22"/>
        </w:rPr>
        <w:t>sākot ar 25</w:t>
      </w:r>
      <w:r w:rsidR="006271A6">
        <w:rPr>
          <w:szCs w:val="22"/>
        </w:rPr>
        <w:t> </w:t>
      </w:r>
      <w:r w:rsidRPr="00B21271">
        <w:rPr>
          <w:szCs w:val="22"/>
        </w:rPr>
        <w:t>% no parastās devas un palielinot devu par 25</w:t>
      </w:r>
      <w:r w:rsidR="006271A6">
        <w:rPr>
          <w:szCs w:val="22"/>
        </w:rPr>
        <w:t> </w:t>
      </w:r>
      <w:r w:rsidRPr="00B21271">
        <w:rPr>
          <w:szCs w:val="22"/>
        </w:rPr>
        <w:t xml:space="preserve">% ik pēc divām nedēļām līdz optimālai stabilizācijai. Pakāpeniska terapijas </w:t>
      </w:r>
      <w:r w:rsidR="00DF0C06">
        <w:rPr>
          <w:szCs w:val="22"/>
        </w:rPr>
        <w:t>uz</w:t>
      </w:r>
      <w:r w:rsidRPr="00B21271">
        <w:rPr>
          <w:szCs w:val="22"/>
        </w:rPr>
        <w:t>sākšana ieteicama arī suņiem ar citām slimībām; it īpaši suņiem ar sirds slimībām, cukura diabētu un nieru vai aknu darbības traucējumiem.</w:t>
      </w:r>
    </w:p>
    <w:p w14:paraId="7F6EABA5" w14:textId="77777777" w:rsidR="009A3F70" w:rsidRPr="00B21271" w:rsidRDefault="009A3F70" w:rsidP="00B21271">
      <w:pPr>
        <w:tabs>
          <w:tab w:val="left" w:pos="-1440"/>
          <w:tab w:val="left" w:pos="-720"/>
        </w:tabs>
        <w:jc w:val="both"/>
        <w:rPr>
          <w:szCs w:val="22"/>
        </w:rPr>
      </w:pPr>
    </w:p>
    <w:p w14:paraId="39755EAB" w14:textId="77777777" w:rsidR="003777D9" w:rsidRPr="00B21271" w:rsidRDefault="003777D9" w:rsidP="00B21271">
      <w:pPr>
        <w:pStyle w:val="Heading2"/>
        <w:spacing w:before="0" w:after="0"/>
        <w:jc w:val="both"/>
        <w:rPr>
          <w:b w:val="0"/>
          <w:szCs w:val="22"/>
          <w:u w:val="single"/>
        </w:rPr>
      </w:pPr>
      <w:r w:rsidRPr="00B21271">
        <w:rPr>
          <w:b w:val="0"/>
          <w:szCs w:val="22"/>
          <w:u w:val="single"/>
        </w:rPr>
        <w:lastRenderedPageBreak/>
        <w:t>Īpaši piesardzības pasākumi, kas jāievēro personai, kura lieto veterinārās zāles dzīvnieku ārstēšanai</w:t>
      </w:r>
    </w:p>
    <w:p w14:paraId="07BA7B33" w14:textId="7849A4C3" w:rsidR="007208AD" w:rsidRDefault="007208AD" w:rsidP="007208AD">
      <w:pPr>
        <w:tabs>
          <w:tab w:val="left" w:pos="-1440"/>
          <w:tab w:val="left" w:pos="-720"/>
        </w:tabs>
        <w:jc w:val="both"/>
        <w:rPr>
          <w:szCs w:val="22"/>
        </w:rPr>
      </w:pPr>
      <w:bookmarkStart w:id="9" w:name="_Hlk51245161"/>
      <w:r w:rsidRPr="003F392B">
        <w:rPr>
          <w:szCs w:val="22"/>
        </w:rPr>
        <w:t>Visas neizlietotās</w:t>
      </w:r>
      <w:r>
        <w:rPr>
          <w:szCs w:val="22"/>
        </w:rPr>
        <w:t xml:space="preserve"> </w:t>
      </w:r>
      <w:r w:rsidRPr="003F392B">
        <w:rPr>
          <w:szCs w:val="22"/>
        </w:rPr>
        <w:t>tablešu daļas</w:t>
      </w:r>
      <w:r>
        <w:rPr>
          <w:szCs w:val="22"/>
        </w:rPr>
        <w:t xml:space="preserve"> jāievieto </w:t>
      </w:r>
      <w:r w:rsidR="006E2FDB">
        <w:rPr>
          <w:szCs w:val="22"/>
        </w:rPr>
        <w:t xml:space="preserve">atpakaļ </w:t>
      </w:r>
      <w:r w:rsidRPr="003F392B">
        <w:rPr>
          <w:szCs w:val="22"/>
        </w:rPr>
        <w:t>atvērtajā blister</w:t>
      </w:r>
      <w:r>
        <w:rPr>
          <w:szCs w:val="22"/>
        </w:rPr>
        <w:t>a iepakojumā</w:t>
      </w:r>
      <w:r w:rsidRPr="003F392B">
        <w:rPr>
          <w:szCs w:val="22"/>
        </w:rPr>
        <w:t xml:space="preserve"> lietošanai nākamaj</w:t>
      </w:r>
      <w:r>
        <w:rPr>
          <w:szCs w:val="22"/>
        </w:rPr>
        <w:t>ā reizē</w:t>
      </w:r>
      <w:r w:rsidRPr="003F392B">
        <w:rPr>
          <w:szCs w:val="22"/>
        </w:rPr>
        <w:t>.</w:t>
      </w:r>
      <w:bookmarkEnd w:id="9"/>
    </w:p>
    <w:p w14:paraId="66BD8D13" w14:textId="16FACA8D" w:rsidR="00A531B3" w:rsidRPr="00B21271" w:rsidRDefault="003777D9" w:rsidP="00B21271">
      <w:pPr>
        <w:tabs>
          <w:tab w:val="left" w:pos="-1440"/>
          <w:tab w:val="left" w:pos="-720"/>
        </w:tabs>
        <w:jc w:val="both"/>
        <w:rPr>
          <w:szCs w:val="22"/>
        </w:rPr>
      </w:pPr>
      <w:r w:rsidRPr="00B21271">
        <w:rPr>
          <w:szCs w:val="22"/>
        </w:rPr>
        <w:t>Pēc rīkošanās ar tabletēm mazgāt rokas. Grūtniecēm ar šīm veterinārajām zālēm rīko</w:t>
      </w:r>
      <w:r w:rsidR="00DF0C06">
        <w:rPr>
          <w:szCs w:val="22"/>
        </w:rPr>
        <w:t>ties</w:t>
      </w:r>
      <w:r w:rsidRPr="00B21271">
        <w:rPr>
          <w:szCs w:val="22"/>
        </w:rPr>
        <w:t xml:space="preserve"> piesardzīgi. Ja notikusi nejauša (gadījuma rakstura) norīšana, nekavējoties meklēt medicīnisko palīdzību un uzrādīt lietošanas instrukciju vai iepakojuma marķējumu ārstam. </w:t>
      </w:r>
    </w:p>
    <w:p w14:paraId="10DA12A2" w14:textId="2E393E1E" w:rsidR="003777D9" w:rsidRPr="00B21271" w:rsidRDefault="00A531B3" w:rsidP="00B21271">
      <w:pPr>
        <w:tabs>
          <w:tab w:val="left" w:pos="-1440"/>
          <w:tab w:val="left" w:pos="-720"/>
        </w:tabs>
        <w:jc w:val="both"/>
        <w:rPr>
          <w:szCs w:val="22"/>
        </w:rPr>
      </w:pPr>
      <w:r w:rsidRPr="00B21271">
        <w:rPr>
          <w:szCs w:val="22"/>
        </w:rPr>
        <w:t xml:space="preserve">Ārstam: </w:t>
      </w:r>
      <w:r w:rsidR="00DF0C06">
        <w:rPr>
          <w:szCs w:val="22"/>
        </w:rPr>
        <w:t>š</w:t>
      </w:r>
      <w:r w:rsidRPr="00B21271">
        <w:rPr>
          <w:szCs w:val="22"/>
        </w:rPr>
        <w:t>īs veterinārās zāles satur L-tiroksīna nātrija sāli augstā koncentrācijā, un to norīšana rada risku cilvēkiem, it īpaši bērniem.</w:t>
      </w:r>
    </w:p>
    <w:p w14:paraId="19098694" w14:textId="77777777" w:rsidR="003777D9" w:rsidRPr="00B21271" w:rsidRDefault="003777D9" w:rsidP="00B21271">
      <w:pPr>
        <w:pStyle w:val="Heading2"/>
        <w:jc w:val="both"/>
        <w:rPr>
          <w:szCs w:val="22"/>
        </w:rPr>
      </w:pPr>
      <w:r w:rsidRPr="00B21271">
        <w:rPr>
          <w:szCs w:val="22"/>
        </w:rPr>
        <w:t>4.6</w:t>
      </w:r>
      <w:r w:rsidRPr="00DC4249">
        <w:rPr>
          <w:szCs w:val="22"/>
        </w:rPr>
        <w:tab/>
      </w:r>
      <w:r w:rsidRPr="00B21271">
        <w:rPr>
          <w:szCs w:val="22"/>
        </w:rPr>
        <w:t>Iespējamās blakusparādības (biežums un bīstamība)</w:t>
      </w:r>
    </w:p>
    <w:p w14:paraId="3C888603" w14:textId="6D0211D4" w:rsidR="007208AD" w:rsidRPr="007208AD" w:rsidRDefault="003777D9" w:rsidP="007208AD">
      <w:pPr>
        <w:tabs>
          <w:tab w:val="left" w:pos="-1440"/>
          <w:tab w:val="left" w:pos="-720"/>
        </w:tabs>
        <w:jc w:val="both"/>
        <w:rPr>
          <w:szCs w:val="22"/>
        </w:rPr>
      </w:pPr>
      <w:r w:rsidRPr="00B21271">
        <w:rPr>
          <w:szCs w:val="22"/>
        </w:rPr>
        <w:t>Atjaunojoties fiziskai aktivitātei, var atklāties vai pastiprināties citas</w:t>
      </w:r>
      <w:r w:rsidR="003378A3">
        <w:rPr>
          <w:szCs w:val="22"/>
        </w:rPr>
        <w:t xml:space="preserve"> </w:t>
      </w:r>
      <w:r w:rsidR="007208AD" w:rsidRPr="007208AD">
        <w:rPr>
          <w:szCs w:val="22"/>
        </w:rPr>
        <w:t>veselīb</w:t>
      </w:r>
      <w:r w:rsidR="006E2FDB">
        <w:rPr>
          <w:szCs w:val="22"/>
        </w:rPr>
        <w:t>as</w:t>
      </w:r>
      <w:r w:rsidR="007208AD" w:rsidRPr="007208AD">
        <w:rPr>
          <w:szCs w:val="22"/>
        </w:rPr>
        <w:t xml:space="preserve"> </w:t>
      </w:r>
      <w:r w:rsidRPr="00B21271">
        <w:rPr>
          <w:szCs w:val="22"/>
        </w:rPr>
        <w:t>problēmas, piemēram, osteoartroze. Vairogdziedzera hormonu izraisītas blakusparādības parasti ir saistītas ar pārāk liel</w:t>
      </w:r>
      <w:r w:rsidR="00DF0C06">
        <w:rPr>
          <w:szCs w:val="22"/>
        </w:rPr>
        <w:t>as</w:t>
      </w:r>
      <w:r w:rsidRPr="00B21271">
        <w:rPr>
          <w:szCs w:val="22"/>
        </w:rPr>
        <w:t xml:space="preserve"> dev</w:t>
      </w:r>
      <w:r w:rsidR="00DF0C06">
        <w:rPr>
          <w:szCs w:val="22"/>
        </w:rPr>
        <w:t>as lietošanu</w:t>
      </w:r>
      <w:r w:rsidRPr="00B21271">
        <w:rPr>
          <w:szCs w:val="22"/>
        </w:rPr>
        <w:t xml:space="preserve"> un atbilst hipertireozes simptomiem</w:t>
      </w:r>
      <w:r w:rsidR="007208AD" w:rsidRPr="007208AD">
        <w:rPr>
          <w:szCs w:val="22"/>
        </w:rPr>
        <w:t>, t</w:t>
      </w:r>
      <w:r w:rsidR="003A7A31">
        <w:rPr>
          <w:szCs w:val="22"/>
        </w:rPr>
        <w:t>ādiem kā</w:t>
      </w:r>
      <w:r w:rsidR="007208AD" w:rsidRPr="007208AD">
        <w:rPr>
          <w:szCs w:val="22"/>
        </w:rPr>
        <w:t xml:space="preserve"> svara zudums, nemazinoties ēstgribai, hiperaktivitāte, uzbudināmība, </w:t>
      </w:r>
      <w:r w:rsidR="00834560">
        <w:rPr>
          <w:szCs w:val="22"/>
        </w:rPr>
        <w:t>elšana</w:t>
      </w:r>
      <w:r w:rsidR="007208AD" w:rsidRPr="007208AD">
        <w:rPr>
          <w:szCs w:val="22"/>
        </w:rPr>
        <w:t xml:space="preserve">, tahikardija, polidipsija, poliūrija un polifāgija. </w:t>
      </w:r>
    </w:p>
    <w:p w14:paraId="0625D494" w14:textId="0372EF26" w:rsidR="007208AD" w:rsidRDefault="007208AD" w:rsidP="007208AD">
      <w:pPr>
        <w:tabs>
          <w:tab w:val="left" w:pos="-1440"/>
          <w:tab w:val="left" w:pos="-720"/>
        </w:tabs>
        <w:jc w:val="both"/>
        <w:rPr>
          <w:szCs w:val="22"/>
        </w:rPr>
      </w:pPr>
      <w:r w:rsidRPr="007208AD">
        <w:rPr>
          <w:szCs w:val="22"/>
        </w:rPr>
        <w:t xml:space="preserve">Ļoti retos gadījumos ir ziņots par </w:t>
      </w:r>
      <w:r w:rsidR="00546D57">
        <w:rPr>
          <w:szCs w:val="22"/>
        </w:rPr>
        <w:t>pastiprinātas</w:t>
      </w:r>
      <w:r w:rsidRPr="007208AD">
        <w:rPr>
          <w:szCs w:val="22"/>
        </w:rPr>
        <w:t xml:space="preserve"> jutības reakcijām (niezi)</w:t>
      </w:r>
      <w:r w:rsidR="003777D9" w:rsidRPr="00B21271">
        <w:rPr>
          <w:szCs w:val="22"/>
        </w:rPr>
        <w:t xml:space="preserve">. </w:t>
      </w:r>
    </w:p>
    <w:p w14:paraId="1D7C984F" w14:textId="506A757C" w:rsidR="003777D9" w:rsidRDefault="003777D9" w:rsidP="007208AD">
      <w:pPr>
        <w:tabs>
          <w:tab w:val="left" w:pos="-1440"/>
          <w:tab w:val="left" w:pos="-720"/>
        </w:tabs>
        <w:jc w:val="both"/>
        <w:rPr>
          <w:szCs w:val="22"/>
        </w:rPr>
      </w:pPr>
      <w:r w:rsidRPr="00B21271">
        <w:rPr>
          <w:szCs w:val="22"/>
        </w:rPr>
        <w:t>Skat</w:t>
      </w:r>
      <w:r w:rsidR="00DF0C06">
        <w:rPr>
          <w:szCs w:val="22"/>
        </w:rPr>
        <w:t>ī</w:t>
      </w:r>
      <w:r w:rsidRPr="00B21271">
        <w:rPr>
          <w:szCs w:val="22"/>
        </w:rPr>
        <w:t xml:space="preserve">t arī 4.10. apakšpunktu. </w:t>
      </w:r>
    </w:p>
    <w:p w14:paraId="515D8723" w14:textId="77777777" w:rsidR="007208AD" w:rsidRDefault="007208AD" w:rsidP="007208AD"/>
    <w:p w14:paraId="2626F1AD" w14:textId="04C9EB89" w:rsidR="007208AD" w:rsidRPr="002652D3" w:rsidRDefault="007208AD" w:rsidP="007208AD">
      <w:r w:rsidRPr="002652D3">
        <w:t xml:space="preserve">Veterināro zāļu blakusparādību sastopamības biežums </w:t>
      </w:r>
      <w:r>
        <w:t>norādīts</w:t>
      </w:r>
      <w:r w:rsidRPr="002652D3">
        <w:t xml:space="preserve"> sekojošā secībā:</w:t>
      </w:r>
    </w:p>
    <w:p w14:paraId="3F123052" w14:textId="77777777" w:rsidR="007208AD" w:rsidRPr="002652D3" w:rsidRDefault="007208AD" w:rsidP="007208AD"/>
    <w:p w14:paraId="37D495A7" w14:textId="77777777" w:rsidR="007208AD" w:rsidRPr="002652D3" w:rsidRDefault="007208AD" w:rsidP="007208AD">
      <w:r w:rsidRPr="002652D3">
        <w:rPr>
          <w:szCs w:val="22"/>
        </w:rPr>
        <w:t>-</w:t>
      </w:r>
      <w:r>
        <w:rPr>
          <w:szCs w:val="22"/>
        </w:rPr>
        <w:t xml:space="preserve"> </w:t>
      </w:r>
      <w:r w:rsidRPr="002652D3">
        <w:t xml:space="preserve">ļoti bieži (vairāk nekā 1 no 10 </w:t>
      </w:r>
      <w:r>
        <w:t xml:space="preserve">ārstētajiem </w:t>
      </w:r>
      <w:r w:rsidRPr="002652D3">
        <w:t>dzīvniekiem novērota(-s) nevēlama(-s) blakusparādība(-s)</w:t>
      </w:r>
      <w:r>
        <w:t>);</w:t>
      </w:r>
    </w:p>
    <w:p w14:paraId="717DF5AA" w14:textId="77777777" w:rsidR="007208AD" w:rsidRPr="002652D3" w:rsidRDefault="007208AD" w:rsidP="007208AD">
      <w:r w:rsidRPr="002652D3">
        <w:t>-</w:t>
      </w:r>
      <w:r>
        <w:t xml:space="preserve"> </w:t>
      </w:r>
      <w:r w:rsidRPr="002652D3">
        <w:t xml:space="preserve">bieži (vairāk nekā 1, bet mazāk nekā 10 dzīvniekiem no 100 </w:t>
      </w:r>
      <w:r>
        <w:t xml:space="preserve">ārstētajiem </w:t>
      </w:r>
      <w:r w:rsidRPr="002652D3">
        <w:t>dzīvniekiem)</w:t>
      </w:r>
      <w:r>
        <w:t>;</w:t>
      </w:r>
    </w:p>
    <w:p w14:paraId="08467E56" w14:textId="77777777" w:rsidR="007208AD" w:rsidRPr="002652D3" w:rsidRDefault="007208AD" w:rsidP="007208AD">
      <w:r w:rsidRPr="002652D3">
        <w:t>-</w:t>
      </w:r>
      <w:r>
        <w:t xml:space="preserve"> </w:t>
      </w:r>
      <w:r w:rsidRPr="002652D3">
        <w:t xml:space="preserve">retāk (vairāk nekā 1, bet mazāk nekā 10 dzīvniekiem no 1000 </w:t>
      </w:r>
      <w:r>
        <w:t xml:space="preserve">ārstētajiem </w:t>
      </w:r>
      <w:r w:rsidRPr="002652D3">
        <w:t>dzīvniekiem)</w:t>
      </w:r>
      <w:r>
        <w:t>;</w:t>
      </w:r>
    </w:p>
    <w:p w14:paraId="13695B39" w14:textId="77777777" w:rsidR="007208AD" w:rsidRPr="002652D3" w:rsidRDefault="007208AD" w:rsidP="007208AD">
      <w:r w:rsidRPr="002652D3">
        <w:t>-</w:t>
      </w:r>
      <w:r>
        <w:t xml:space="preserve"> </w:t>
      </w:r>
      <w:r w:rsidRPr="002652D3">
        <w:t>reti (vairāk nekā 1, bet mazāk nekā 10 dzīvniekiem no 10000</w:t>
      </w:r>
      <w:r w:rsidRPr="00AA3C21">
        <w:t xml:space="preserve"> </w:t>
      </w:r>
      <w:r>
        <w:t>ārstētajiem</w:t>
      </w:r>
      <w:r w:rsidRPr="002652D3">
        <w:t xml:space="preserve"> dzīvniekiem)</w:t>
      </w:r>
      <w:r>
        <w:t>;</w:t>
      </w:r>
    </w:p>
    <w:p w14:paraId="1F29EAF1" w14:textId="4BDD531A" w:rsidR="007208AD" w:rsidRPr="00B21271" w:rsidRDefault="007208AD" w:rsidP="007208AD">
      <w:pPr>
        <w:tabs>
          <w:tab w:val="left" w:pos="-1440"/>
          <w:tab w:val="left" w:pos="-720"/>
        </w:tabs>
        <w:jc w:val="both"/>
        <w:rPr>
          <w:szCs w:val="22"/>
        </w:rPr>
      </w:pPr>
      <w:r w:rsidRPr="002652D3">
        <w:t>-</w:t>
      </w:r>
      <w:r>
        <w:t xml:space="preserve"> </w:t>
      </w:r>
      <w:r w:rsidRPr="002652D3">
        <w:t xml:space="preserve">ļoti reti (mazāk nekā 1 dzīvniekam no 10000 </w:t>
      </w:r>
      <w:r>
        <w:t xml:space="preserve">ārstētajiem </w:t>
      </w:r>
      <w:r w:rsidRPr="002652D3">
        <w:t>dzīvniekiem, ieskaitot atsevišķus ziņojumus).</w:t>
      </w:r>
    </w:p>
    <w:p w14:paraId="4FEBDF8C" w14:textId="77777777" w:rsidR="003777D9" w:rsidRPr="00B21271" w:rsidRDefault="003777D9" w:rsidP="00B21271">
      <w:pPr>
        <w:pStyle w:val="Heading2"/>
        <w:jc w:val="both"/>
        <w:rPr>
          <w:szCs w:val="22"/>
        </w:rPr>
      </w:pPr>
      <w:bookmarkStart w:id="10" w:name="_Toc97112337"/>
      <w:r w:rsidRPr="00B21271">
        <w:rPr>
          <w:szCs w:val="22"/>
        </w:rPr>
        <w:t>4.7</w:t>
      </w:r>
      <w:r w:rsidRPr="00DC4249">
        <w:rPr>
          <w:szCs w:val="22"/>
        </w:rPr>
        <w:tab/>
      </w:r>
      <w:r w:rsidRPr="00B21271">
        <w:rPr>
          <w:szCs w:val="22"/>
        </w:rPr>
        <w:t>Lietošana grūsnības, laktācijas</w:t>
      </w:r>
      <w:bookmarkEnd w:id="10"/>
      <w:r w:rsidRPr="00B21271">
        <w:rPr>
          <w:szCs w:val="22"/>
        </w:rPr>
        <w:t xml:space="preserve"> vai dēšanas laikā</w:t>
      </w:r>
    </w:p>
    <w:p w14:paraId="26EBD753" w14:textId="4D6B65FC" w:rsidR="003777D9" w:rsidRPr="00B21271" w:rsidRDefault="003777D9" w:rsidP="00B21271">
      <w:pPr>
        <w:pStyle w:val="Heading2"/>
        <w:spacing w:before="0" w:after="0"/>
        <w:jc w:val="both"/>
        <w:rPr>
          <w:b w:val="0"/>
          <w:szCs w:val="22"/>
        </w:rPr>
      </w:pPr>
      <w:r w:rsidRPr="00B21271">
        <w:rPr>
          <w:b w:val="0"/>
          <w:szCs w:val="22"/>
        </w:rPr>
        <w:t xml:space="preserve">Nav pierādīts šo veterināro zāļu </w:t>
      </w:r>
      <w:r w:rsidR="008E1AAA">
        <w:rPr>
          <w:b w:val="0"/>
          <w:szCs w:val="22"/>
        </w:rPr>
        <w:t>drošums</w:t>
      </w:r>
      <w:r w:rsidR="008E1AAA" w:rsidRPr="00B21271">
        <w:rPr>
          <w:b w:val="0"/>
          <w:szCs w:val="22"/>
        </w:rPr>
        <w:t xml:space="preserve"> </w:t>
      </w:r>
      <w:r w:rsidRPr="00B21271">
        <w:rPr>
          <w:b w:val="0"/>
          <w:szCs w:val="22"/>
        </w:rPr>
        <w:t xml:space="preserve">kucēm grūsnības vai laktācijas laikā. Levotiroksīns ir endogēna viela un vairogdziedzera hormoniem ir svarīga loma augļa attīstībā, it īpaši grūsnības pirmajā periodā. Hipotireoze grūsnības laikā var izraisīt tādas smagas komplikācijas kā augļa nāve un </w:t>
      </w:r>
      <w:r w:rsidR="00353FC6" w:rsidRPr="00B21271">
        <w:rPr>
          <w:b w:val="0"/>
          <w:szCs w:val="22"/>
        </w:rPr>
        <w:t xml:space="preserve">apgrūtināts </w:t>
      </w:r>
      <w:r w:rsidRPr="00B21271">
        <w:rPr>
          <w:b w:val="0"/>
          <w:szCs w:val="22"/>
        </w:rPr>
        <w:t>perinatālais periods. Grūsnības laikā levotiroksīna nātrija sāls uzturoš</w:t>
      </w:r>
      <w:r w:rsidR="003520DC">
        <w:rPr>
          <w:b w:val="0"/>
          <w:szCs w:val="22"/>
        </w:rPr>
        <w:t>o</w:t>
      </w:r>
      <w:r w:rsidRPr="00B21271">
        <w:rPr>
          <w:b w:val="0"/>
          <w:szCs w:val="22"/>
        </w:rPr>
        <w:t xml:space="preserve"> dev</w:t>
      </w:r>
      <w:r w:rsidR="003520DC">
        <w:rPr>
          <w:b w:val="0"/>
          <w:szCs w:val="22"/>
        </w:rPr>
        <w:t>u</w:t>
      </w:r>
      <w:r w:rsidR="003520DC" w:rsidRPr="003520DC">
        <w:rPr>
          <w:b w:val="0"/>
          <w:szCs w:val="22"/>
        </w:rPr>
        <w:t xml:space="preserve"> </w:t>
      </w:r>
      <w:r w:rsidR="003520DC">
        <w:rPr>
          <w:b w:val="0"/>
          <w:szCs w:val="22"/>
        </w:rPr>
        <w:t xml:space="preserve">nepieciešams </w:t>
      </w:r>
      <w:r w:rsidR="003520DC" w:rsidRPr="001D6C35">
        <w:rPr>
          <w:b w:val="0"/>
          <w:szCs w:val="22"/>
        </w:rPr>
        <w:t>pielāgo</w:t>
      </w:r>
      <w:r w:rsidR="003520DC">
        <w:rPr>
          <w:b w:val="0"/>
          <w:szCs w:val="22"/>
        </w:rPr>
        <w:t>t</w:t>
      </w:r>
      <w:r w:rsidRPr="00B21271">
        <w:rPr>
          <w:b w:val="0"/>
          <w:szCs w:val="22"/>
        </w:rPr>
        <w:t xml:space="preserve">. </w:t>
      </w:r>
      <w:r w:rsidR="003520DC">
        <w:rPr>
          <w:b w:val="0"/>
          <w:szCs w:val="22"/>
        </w:rPr>
        <w:t>Šī iemesla dēļ</w:t>
      </w:r>
      <w:r w:rsidR="003520DC" w:rsidRPr="00B21271">
        <w:rPr>
          <w:b w:val="0"/>
          <w:szCs w:val="22"/>
        </w:rPr>
        <w:t xml:space="preserve"> </w:t>
      </w:r>
      <w:r w:rsidRPr="00B21271">
        <w:rPr>
          <w:b w:val="0"/>
          <w:szCs w:val="22"/>
        </w:rPr>
        <w:t>kucēm grūsnības laikā, periodā no apaugļošanās līdz vairākām nedēļām pēc dzemdībām, nepieciešama regulāra novērošana.</w:t>
      </w:r>
    </w:p>
    <w:p w14:paraId="40B06059" w14:textId="77777777" w:rsidR="003777D9" w:rsidRPr="00B21271" w:rsidRDefault="003777D9" w:rsidP="00B21271">
      <w:pPr>
        <w:pStyle w:val="Heading2"/>
        <w:jc w:val="both"/>
        <w:rPr>
          <w:szCs w:val="22"/>
        </w:rPr>
      </w:pPr>
      <w:bookmarkStart w:id="11" w:name="_Toc97112338"/>
      <w:r w:rsidRPr="00B21271">
        <w:rPr>
          <w:szCs w:val="22"/>
        </w:rPr>
        <w:t>4.8</w:t>
      </w:r>
      <w:r w:rsidRPr="00DC4249">
        <w:rPr>
          <w:szCs w:val="22"/>
        </w:rPr>
        <w:tab/>
      </w:r>
      <w:r w:rsidRPr="00B21271">
        <w:rPr>
          <w:szCs w:val="22"/>
        </w:rPr>
        <w:t>Mijiedarbība ar citām zālēm un citi mijiedarbības veidi</w:t>
      </w:r>
      <w:bookmarkEnd w:id="11"/>
    </w:p>
    <w:p w14:paraId="496CFDF7" w14:textId="6452852A" w:rsidR="003777D9" w:rsidRPr="00B21271" w:rsidRDefault="003777D9" w:rsidP="00B21271">
      <w:pPr>
        <w:tabs>
          <w:tab w:val="left" w:pos="-1440"/>
          <w:tab w:val="left" w:pos="-720"/>
        </w:tabs>
        <w:jc w:val="both"/>
        <w:rPr>
          <w:szCs w:val="22"/>
        </w:rPr>
      </w:pPr>
      <w:r w:rsidRPr="00B21271">
        <w:rPr>
          <w:szCs w:val="22"/>
        </w:rPr>
        <w:t xml:space="preserve">Dažādas zāles var ietekmēt vairogdziedzera hormonu saistīšanos plazmā vai audos vai iedarboties uz vairogdziedzera hormonu vielmaiņu (piemēram, barbiturāti, antacīdi, anabolie steroīdi, diazepāms, furosemīds, mitotāns, fenilbutazons, fenitoīns, propranolols, salicilāti lielās devās un sulfonamīdi). Ārstējot suņus, kas vienlaikus saņem vairākas zāles, jāņem vērā šo zāļu īpašības. </w:t>
      </w:r>
    </w:p>
    <w:p w14:paraId="7557B914" w14:textId="58FA060D" w:rsidR="003777D9" w:rsidRPr="00B21271" w:rsidRDefault="0088129B" w:rsidP="00B21271">
      <w:pPr>
        <w:pStyle w:val="BodyText2"/>
        <w:jc w:val="both"/>
        <w:rPr>
          <w:i w:val="0"/>
          <w:szCs w:val="22"/>
        </w:rPr>
      </w:pPr>
      <w:r w:rsidRPr="00B21271">
        <w:rPr>
          <w:i w:val="0"/>
          <w:szCs w:val="22"/>
        </w:rPr>
        <w:t>Estrogēni var palielināt vairogdziedzera hormon</w:t>
      </w:r>
      <w:r w:rsidR="00E30354">
        <w:rPr>
          <w:i w:val="0"/>
          <w:szCs w:val="22"/>
        </w:rPr>
        <w:t>u nepieciešamību</w:t>
      </w:r>
      <w:r w:rsidRPr="00B21271">
        <w:rPr>
          <w:i w:val="0"/>
          <w:szCs w:val="22"/>
        </w:rPr>
        <w:t>.</w:t>
      </w:r>
    </w:p>
    <w:p w14:paraId="416437FD" w14:textId="0AC71876" w:rsidR="003777D9" w:rsidRPr="00B21271" w:rsidRDefault="003777D9" w:rsidP="00B21271">
      <w:pPr>
        <w:pStyle w:val="BodyText2"/>
        <w:jc w:val="both"/>
        <w:rPr>
          <w:i w:val="0"/>
          <w:szCs w:val="22"/>
        </w:rPr>
      </w:pPr>
      <w:r w:rsidRPr="00B21271">
        <w:rPr>
          <w:i w:val="0"/>
          <w:szCs w:val="22"/>
        </w:rPr>
        <w:t>Ketamīns var izraisīt tahikardiju un hipertensiju dzīvniekiem, k</w:t>
      </w:r>
      <w:r w:rsidR="0044018A">
        <w:rPr>
          <w:i w:val="0"/>
          <w:szCs w:val="22"/>
        </w:rPr>
        <w:t>uri</w:t>
      </w:r>
      <w:r w:rsidRPr="00B21271">
        <w:rPr>
          <w:i w:val="0"/>
          <w:szCs w:val="22"/>
        </w:rPr>
        <w:t xml:space="preserve"> saņem vairogdziedzera hormonus. Levotiroksīns pastiprina kateholamīnu un simpatomimētiķu iedarbību. </w:t>
      </w:r>
    </w:p>
    <w:p w14:paraId="3CC4CB56" w14:textId="0D2AB3E2" w:rsidR="003777D9" w:rsidRPr="00B21271" w:rsidRDefault="00A26DF1" w:rsidP="00B21271">
      <w:pPr>
        <w:tabs>
          <w:tab w:val="left" w:pos="-1440"/>
          <w:tab w:val="left" w:pos="-720"/>
        </w:tabs>
        <w:jc w:val="both"/>
        <w:rPr>
          <w:szCs w:val="22"/>
        </w:rPr>
      </w:pPr>
      <w:r w:rsidRPr="00B21271">
        <w:rPr>
          <w:szCs w:val="22"/>
        </w:rPr>
        <w:t>Pacientam ar iepriekš kompensētu hronisku sirds mazspēju, uzsākot aizstājterapiju ar vairogdziedzera hormoniem</w:t>
      </w:r>
      <w:r w:rsidR="00546D57">
        <w:rPr>
          <w:szCs w:val="22"/>
        </w:rPr>
        <w:t>,</w:t>
      </w:r>
      <w:r w:rsidRPr="00B21271">
        <w:rPr>
          <w:szCs w:val="22"/>
        </w:rPr>
        <w:t xml:space="preserve"> var būt nepieciešams palielināt sirds glikozīdu devu</w:t>
      </w:r>
      <w:r w:rsidRPr="00B21271">
        <w:rPr>
          <w:i/>
          <w:szCs w:val="22"/>
        </w:rPr>
        <w:t xml:space="preserve">. </w:t>
      </w:r>
      <w:r w:rsidRPr="00B21271">
        <w:rPr>
          <w:szCs w:val="22"/>
        </w:rPr>
        <w:t xml:space="preserve">Ārstējot hipotireozi suņiem ar diabētu, ieteicama rūpīga diabēta kontroles uzraudzība. </w:t>
      </w:r>
    </w:p>
    <w:p w14:paraId="64B987B1" w14:textId="77777777" w:rsidR="003777D9" w:rsidRPr="00B21271" w:rsidRDefault="003777D9" w:rsidP="00B21271">
      <w:pPr>
        <w:tabs>
          <w:tab w:val="left" w:pos="-1440"/>
          <w:tab w:val="left" w:pos="-720"/>
        </w:tabs>
        <w:jc w:val="both"/>
        <w:rPr>
          <w:szCs w:val="22"/>
        </w:rPr>
      </w:pPr>
    </w:p>
    <w:p w14:paraId="3C978F41" w14:textId="2CD5F3FD" w:rsidR="003777D9" w:rsidRPr="00B21271" w:rsidRDefault="003777D9" w:rsidP="00B21271">
      <w:pPr>
        <w:tabs>
          <w:tab w:val="left" w:pos="-1440"/>
          <w:tab w:val="left" w:pos="-720"/>
        </w:tabs>
        <w:jc w:val="both"/>
        <w:rPr>
          <w:szCs w:val="22"/>
        </w:rPr>
      </w:pPr>
      <w:r w:rsidRPr="00B21271">
        <w:rPr>
          <w:szCs w:val="22"/>
        </w:rPr>
        <w:t>Lielākajai daļai suņu, kas pastāvīgi ikdienā saņem glikokortikoīdus lielās devās, raksturīga ļoti zema vai nenosakāma T</w:t>
      </w:r>
      <w:r w:rsidRPr="00B21271">
        <w:rPr>
          <w:szCs w:val="22"/>
          <w:vertAlign w:val="subscript"/>
        </w:rPr>
        <w:t>4</w:t>
      </w:r>
      <w:r w:rsidRPr="00B21271">
        <w:rPr>
          <w:szCs w:val="22"/>
        </w:rPr>
        <w:t xml:space="preserve"> koncentrācija serumā</w:t>
      </w:r>
      <w:r w:rsidR="00202C24">
        <w:rPr>
          <w:szCs w:val="22"/>
        </w:rPr>
        <w:t xml:space="preserve"> un</w:t>
      </w:r>
      <w:r w:rsidRPr="00B21271">
        <w:rPr>
          <w:szCs w:val="22"/>
        </w:rPr>
        <w:t xml:space="preserve"> T</w:t>
      </w:r>
      <w:r w:rsidRPr="00B21271">
        <w:rPr>
          <w:szCs w:val="22"/>
          <w:vertAlign w:val="subscript"/>
        </w:rPr>
        <w:t>3</w:t>
      </w:r>
      <w:r w:rsidRPr="00B21271">
        <w:rPr>
          <w:szCs w:val="22"/>
        </w:rPr>
        <w:t xml:space="preserve"> vērtība</w:t>
      </w:r>
      <w:r w:rsidR="00202C24">
        <w:rPr>
          <w:szCs w:val="22"/>
        </w:rPr>
        <w:t xml:space="preserve"> zem normas robežām</w:t>
      </w:r>
      <w:r w:rsidRPr="00B21271">
        <w:rPr>
          <w:szCs w:val="22"/>
        </w:rPr>
        <w:t>.</w:t>
      </w:r>
    </w:p>
    <w:p w14:paraId="1D5F976B" w14:textId="77777777" w:rsidR="003777D9" w:rsidRPr="00B21271" w:rsidRDefault="003777D9" w:rsidP="00B21271">
      <w:pPr>
        <w:pStyle w:val="Heading2"/>
        <w:jc w:val="both"/>
        <w:rPr>
          <w:szCs w:val="22"/>
        </w:rPr>
      </w:pPr>
      <w:bookmarkStart w:id="12" w:name="_Toc97112339"/>
      <w:r w:rsidRPr="00B21271">
        <w:rPr>
          <w:szCs w:val="22"/>
        </w:rPr>
        <w:t>4.9</w:t>
      </w:r>
      <w:r w:rsidRPr="00DC4249">
        <w:rPr>
          <w:szCs w:val="22"/>
        </w:rPr>
        <w:tab/>
      </w:r>
      <w:r w:rsidRPr="00B21271">
        <w:rPr>
          <w:szCs w:val="22"/>
        </w:rPr>
        <w:t>Devas un lietošanas veids</w:t>
      </w:r>
      <w:bookmarkEnd w:id="12"/>
    </w:p>
    <w:p w14:paraId="77409F70" w14:textId="77777777" w:rsidR="00617007" w:rsidRPr="00B21271" w:rsidRDefault="00617007" w:rsidP="00B21271">
      <w:pPr>
        <w:jc w:val="both"/>
        <w:rPr>
          <w:szCs w:val="22"/>
        </w:rPr>
      </w:pPr>
      <w:r w:rsidRPr="00B21271">
        <w:rPr>
          <w:szCs w:val="22"/>
        </w:rPr>
        <w:t>Iekšķīgai lietošanai.</w:t>
      </w:r>
    </w:p>
    <w:p w14:paraId="0531750A" w14:textId="4E23B250" w:rsidR="003777D9" w:rsidRPr="00B21271" w:rsidRDefault="003777D9" w:rsidP="00B21271">
      <w:pPr>
        <w:jc w:val="both"/>
        <w:rPr>
          <w:szCs w:val="22"/>
        </w:rPr>
      </w:pPr>
      <w:r w:rsidRPr="00B21271">
        <w:rPr>
          <w:szCs w:val="22"/>
        </w:rPr>
        <w:t>Ieteicamā levotiroksīna nātrija sāls sākuma deva ir 10 µg</w:t>
      </w:r>
      <w:r w:rsidR="00202C24">
        <w:rPr>
          <w:szCs w:val="22"/>
        </w:rPr>
        <w:t>/</w:t>
      </w:r>
      <w:r w:rsidRPr="00B21271">
        <w:rPr>
          <w:szCs w:val="22"/>
        </w:rPr>
        <w:t xml:space="preserve">kg ķermeņa svara, lietojot iekšķīgi ik pēc 12 stundām. Tā kā uzsūkšanās un vielmaiņa ir dažāda, var </w:t>
      </w:r>
      <w:r w:rsidR="00202C24">
        <w:rPr>
          <w:szCs w:val="22"/>
        </w:rPr>
        <w:t>būt</w:t>
      </w:r>
      <w:r w:rsidR="00202C24" w:rsidRPr="00B21271">
        <w:rPr>
          <w:szCs w:val="22"/>
        </w:rPr>
        <w:t xml:space="preserve"> </w:t>
      </w:r>
      <w:r w:rsidRPr="00B21271">
        <w:rPr>
          <w:szCs w:val="22"/>
        </w:rPr>
        <w:t>nepieciešam</w:t>
      </w:r>
      <w:r w:rsidR="00C242E6">
        <w:rPr>
          <w:szCs w:val="22"/>
        </w:rPr>
        <w:t>s</w:t>
      </w:r>
      <w:r w:rsidRPr="00B21271">
        <w:rPr>
          <w:szCs w:val="22"/>
        </w:rPr>
        <w:t xml:space="preserve"> devu</w:t>
      </w:r>
      <w:r w:rsidR="00202C24">
        <w:rPr>
          <w:szCs w:val="22"/>
        </w:rPr>
        <w:t xml:space="preserve"> pielāgot</w:t>
      </w:r>
      <w:r w:rsidRPr="00B21271">
        <w:rPr>
          <w:szCs w:val="22"/>
        </w:rPr>
        <w:t xml:space="preserve">, lai novērotu pilnīgu klīnisko atbildes reakciju. Sākotnējā deva un lietošanas biežums ir tikai sākuma punkts. Terapijai jābūt ļoti individualizētai un pielāgotai katra suņa vajadzībām. </w:t>
      </w:r>
      <w:r w:rsidR="004E4B77">
        <w:rPr>
          <w:szCs w:val="22"/>
        </w:rPr>
        <w:t>Nosa</w:t>
      </w:r>
      <w:r w:rsidRPr="00B21271">
        <w:rPr>
          <w:szCs w:val="22"/>
        </w:rPr>
        <w:t xml:space="preserve">kot </w:t>
      </w:r>
      <w:r w:rsidR="004E4B77">
        <w:rPr>
          <w:szCs w:val="22"/>
        </w:rPr>
        <w:t>devu</w:t>
      </w:r>
      <w:r w:rsidRPr="00B21271">
        <w:rPr>
          <w:szCs w:val="22"/>
        </w:rPr>
        <w:t xml:space="preserve"> suņiem, kuru ķermeņa </w:t>
      </w:r>
      <w:r w:rsidR="004E4B77">
        <w:rPr>
          <w:szCs w:val="22"/>
        </w:rPr>
        <w:t>svars</w:t>
      </w:r>
      <w:r w:rsidR="004E4B77" w:rsidRPr="00B21271">
        <w:rPr>
          <w:szCs w:val="22"/>
        </w:rPr>
        <w:t xml:space="preserve"> </w:t>
      </w:r>
      <w:r w:rsidRPr="00B21271">
        <w:rPr>
          <w:szCs w:val="22"/>
        </w:rPr>
        <w:t>ir mazāk</w:t>
      </w:r>
      <w:r w:rsidR="004E4B77">
        <w:rPr>
          <w:szCs w:val="22"/>
        </w:rPr>
        <w:t>s</w:t>
      </w:r>
      <w:r w:rsidRPr="00B21271">
        <w:rPr>
          <w:szCs w:val="22"/>
        </w:rPr>
        <w:t xml:space="preserve"> nekā 5 kg, lieto</w:t>
      </w:r>
      <w:r w:rsidR="004E4B77">
        <w:rPr>
          <w:szCs w:val="22"/>
        </w:rPr>
        <w:t>t</w:t>
      </w:r>
      <w:r w:rsidRPr="00B21271">
        <w:rPr>
          <w:szCs w:val="22"/>
        </w:rPr>
        <w:t xml:space="preserve"> ceturt</w:t>
      </w:r>
      <w:r w:rsidR="004E4B77">
        <w:rPr>
          <w:szCs w:val="22"/>
        </w:rPr>
        <w:t>o</w:t>
      </w:r>
      <w:r w:rsidRPr="00B21271">
        <w:rPr>
          <w:szCs w:val="22"/>
        </w:rPr>
        <w:t xml:space="preserve"> daļ</w:t>
      </w:r>
      <w:r w:rsidR="004E4B77">
        <w:rPr>
          <w:szCs w:val="22"/>
        </w:rPr>
        <w:t>u</w:t>
      </w:r>
      <w:r w:rsidRPr="00B21271">
        <w:rPr>
          <w:szCs w:val="22"/>
        </w:rPr>
        <w:t xml:space="preserve"> no 200 μg tabletes </w:t>
      </w:r>
      <w:r w:rsidRPr="00B21271">
        <w:rPr>
          <w:szCs w:val="22"/>
          <w:u w:val="single"/>
        </w:rPr>
        <w:t>vienreiz</w:t>
      </w:r>
      <w:r w:rsidRPr="00B21271">
        <w:rPr>
          <w:szCs w:val="22"/>
        </w:rPr>
        <w:t xml:space="preserve"> dienā. Šādi gadījumi rūpīgi </w:t>
      </w:r>
      <w:r w:rsidRPr="00B21271">
        <w:rPr>
          <w:szCs w:val="22"/>
        </w:rPr>
        <w:lastRenderedPageBreak/>
        <w:t>jāuzrauga. Levotiroksīna nātrija sāls uzsūkšanos suņa organismā var ietekmēt barības klātbūtne. Šī iemesla dēļ ikdienā ieteicams ievērot vien</w:t>
      </w:r>
      <w:r w:rsidR="009B777C">
        <w:rPr>
          <w:szCs w:val="22"/>
        </w:rPr>
        <w:t>u un to pašu</w:t>
      </w:r>
      <w:r w:rsidRPr="00B21271">
        <w:rPr>
          <w:szCs w:val="22"/>
        </w:rPr>
        <w:t xml:space="preserve"> terapijas laiku un tā saistību ar </w:t>
      </w:r>
      <w:r w:rsidR="009B777C">
        <w:rPr>
          <w:szCs w:val="22"/>
        </w:rPr>
        <w:t>barošanas</w:t>
      </w:r>
      <w:r w:rsidR="004E4B77" w:rsidRPr="00B21271">
        <w:rPr>
          <w:szCs w:val="22"/>
        </w:rPr>
        <w:t xml:space="preserve"> </w:t>
      </w:r>
      <w:r w:rsidRPr="00B21271">
        <w:rPr>
          <w:szCs w:val="22"/>
        </w:rPr>
        <w:t>reizēm. Lai adekvāti uzraudzītu ārstēšanas gaitu, plazmā var mērīt T</w:t>
      </w:r>
      <w:r w:rsidRPr="00B21271">
        <w:rPr>
          <w:szCs w:val="22"/>
          <w:vertAlign w:val="subscript"/>
        </w:rPr>
        <w:t>4</w:t>
      </w:r>
      <w:r w:rsidRPr="00B21271">
        <w:rPr>
          <w:szCs w:val="22"/>
        </w:rPr>
        <w:t xml:space="preserve"> minimālo līmeni (tieši pirms ārstēšanas) un maksimālās vērtības (apmēram trīs stundas pēc </w:t>
      </w:r>
      <w:r w:rsidR="004E4B77">
        <w:rPr>
          <w:szCs w:val="22"/>
        </w:rPr>
        <w:t xml:space="preserve">zāļu </w:t>
      </w:r>
      <w:r w:rsidRPr="00B21271">
        <w:rPr>
          <w:szCs w:val="22"/>
        </w:rPr>
        <w:t>devas lietošanas). Suņiem, kuri saņēmuši pareizas devas, T</w:t>
      </w:r>
      <w:r w:rsidRPr="00B21271">
        <w:rPr>
          <w:szCs w:val="22"/>
          <w:vertAlign w:val="subscript"/>
        </w:rPr>
        <w:t>4</w:t>
      </w:r>
      <w:r w:rsidRPr="00B21271">
        <w:rPr>
          <w:szCs w:val="22"/>
        </w:rPr>
        <w:t xml:space="preserve"> maksimālajai koncentrācijai plazmā jābūt normas augstākajās robežās (aptuveni no 30 līdz 47 nmol/l) un minimālajām vērtībām jābūt apmēram virs 19 nmol/l. Ja T</w:t>
      </w:r>
      <w:r w:rsidRPr="00B21271">
        <w:rPr>
          <w:szCs w:val="22"/>
          <w:vertAlign w:val="subscript"/>
        </w:rPr>
        <w:t>4</w:t>
      </w:r>
      <w:r w:rsidRPr="00B21271">
        <w:rPr>
          <w:szCs w:val="22"/>
        </w:rPr>
        <w:t xml:space="preserve"> līmenis neietilpst šajā intervālā, levotiroksīna devu var pielāgot </w:t>
      </w:r>
      <w:r w:rsidR="004E4B77">
        <w:rPr>
          <w:szCs w:val="22"/>
        </w:rPr>
        <w:t xml:space="preserve">no 50 </w:t>
      </w:r>
      <w:r w:rsidRPr="00B21271">
        <w:rPr>
          <w:szCs w:val="22"/>
        </w:rPr>
        <w:t>līdz 200 µg</w:t>
      </w:r>
      <w:bookmarkStart w:id="13" w:name="_Hlk51245255"/>
      <w:r w:rsidR="005339A6">
        <w:rPr>
          <w:szCs w:val="22"/>
        </w:rPr>
        <w:t>, izmantojot atbilstošā stipruma tabletes,</w:t>
      </w:r>
      <w:bookmarkEnd w:id="13"/>
      <w:r w:rsidR="005339A6">
        <w:rPr>
          <w:szCs w:val="22"/>
        </w:rPr>
        <w:t xml:space="preserve"> </w:t>
      </w:r>
      <w:r w:rsidR="00201D0F">
        <w:rPr>
          <w:szCs w:val="22"/>
        </w:rPr>
        <w:t>līdz</w:t>
      </w:r>
      <w:r w:rsidRPr="00B21271">
        <w:rPr>
          <w:szCs w:val="22"/>
        </w:rPr>
        <w:t xml:space="preserve"> pacients sasnie</w:t>
      </w:r>
      <w:r w:rsidR="00201D0F">
        <w:rPr>
          <w:szCs w:val="22"/>
        </w:rPr>
        <w:t>dzis</w:t>
      </w:r>
      <w:r w:rsidRPr="00B21271">
        <w:rPr>
          <w:szCs w:val="22"/>
        </w:rPr>
        <w:t xml:space="preserve"> klīniski eitireoīdu stāvokli un T</w:t>
      </w:r>
      <w:r w:rsidRPr="00B21271">
        <w:rPr>
          <w:szCs w:val="22"/>
          <w:vertAlign w:val="subscript"/>
        </w:rPr>
        <w:t>4</w:t>
      </w:r>
      <w:r w:rsidRPr="00B21271">
        <w:rPr>
          <w:szCs w:val="22"/>
        </w:rPr>
        <w:t xml:space="preserve"> līmenis serumā </w:t>
      </w:r>
      <w:r w:rsidR="00201D0F">
        <w:rPr>
          <w:szCs w:val="22"/>
        </w:rPr>
        <w:t>ir noteiktajās normas robežās</w:t>
      </w:r>
      <w:r w:rsidRPr="00B21271">
        <w:rPr>
          <w:szCs w:val="22"/>
        </w:rPr>
        <w:t>. T</w:t>
      </w:r>
      <w:r w:rsidRPr="00B21271">
        <w:rPr>
          <w:szCs w:val="22"/>
          <w:vertAlign w:val="subscript"/>
        </w:rPr>
        <w:t>4</w:t>
      </w:r>
      <w:r w:rsidRPr="00B21271">
        <w:rPr>
          <w:szCs w:val="22"/>
        </w:rPr>
        <w:t xml:space="preserve"> līmeni plazmā var atkārtoti noteikt divas nedēļas pēc </w:t>
      </w:r>
      <w:r w:rsidR="00201D0F">
        <w:rPr>
          <w:szCs w:val="22"/>
        </w:rPr>
        <w:t xml:space="preserve">zāļu </w:t>
      </w:r>
      <w:r w:rsidRPr="00B21271">
        <w:rPr>
          <w:szCs w:val="22"/>
        </w:rPr>
        <w:t xml:space="preserve">devas maiņas, tomēr vienlīdz svarīgs faktors, nosakot individuālo zāļu devu, ir klīniskā </w:t>
      </w:r>
      <w:r w:rsidR="002F1DDB">
        <w:rPr>
          <w:szCs w:val="22"/>
        </w:rPr>
        <w:t xml:space="preserve">veselības </w:t>
      </w:r>
      <w:r w:rsidRPr="00B21271">
        <w:rPr>
          <w:szCs w:val="22"/>
        </w:rPr>
        <w:t>stāvokļa uzlabošanās</w:t>
      </w:r>
      <w:r w:rsidR="002F1DDB">
        <w:rPr>
          <w:szCs w:val="22"/>
        </w:rPr>
        <w:t>, kam ir</w:t>
      </w:r>
      <w:r w:rsidRPr="00B21271">
        <w:rPr>
          <w:szCs w:val="22"/>
        </w:rPr>
        <w:t xml:space="preserve"> nepieciešam</w:t>
      </w:r>
      <w:r w:rsidR="00281FE9">
        <w:rPr>
          <w:szCs w:val="22"/>
        </w:rPr>
        <w:t>a</w:t>
      </w:r>
      <w:r w:rsidRPr="00B21271">
        <w:rPr>
          <w:szCs w:val="22"/>
        </w:rPr>
        <w:t xml:space="preserve">s četras līdz astoņas nedēļas. Sasniedzot optimālo aizstājterapijas devu, klīnisko un bioķīmisko </w:t>
      </w:r>
      <w:r w:rsidR="00767448">
        <w:rPr>
          <w:szCs w:val="22"/>
        </w:rPr>
        <w:t>rādītāju izvērtēšanu</w:t>
      </w:r>
      <w:r w:rsidR="00767448" w:rsidRPr="00B21271">
        <w:rPr>
          <w:szCs w:val="22"/>
        </w:rPr>
        <w:t xml:space="preserve"> </w:t>
      </w:r>
      <w:r w:rsidRPr="00B21271">
        <w:rPr>
          <w:szCs w:val="22"/>
        </w:rPr>
        <w:t>var veikt ik pēc 6–12 mēnešiem.</w:t>
      </w:r>
    </w:p>
    <w:p w14:paraId="47729571" w14:textId="77777777" w:rsidR="005339A6" w:rsidRDefault="005339A6" w:rsidP="00B21271">
      <w:pPr>
        <w:jc w:val="both"/>
        <w:rPr>
          <w:szCs w:val="22"/>
        </w:rPr>
      </w:pPr>
    </w:p>
    <w:p w14:paraId="3A4CFCA9" w14:textId="77777777" w:rsidR="005339A6" w:rsidRDefault="005339A6" w:rsidP="00B21271">
      <w:pPr>
        <w:jc w:val="both"/>
        <w:rPr>
          <w:szCs w:val="22"/>
        </w:rPr>
      </w:pPr>
    </w:p>
    <w:p w14:paraId="10FC5CFE" w14:textId="24251E35" w:rsidR="003777D9" w:rsidRPr="00B21271" w:rsidRDefault="004B535A" w:rsidP="00B21271">
      <w:pPr>
        <w:jc w:val="both"/>
        <w:rPr>
          <w:szCs w:val="22"/>
        </w:rPr>
      </w:pPr>
      <w:r>
        <w:rPr>
          <w:noProof/>
          <w:szCs w:val="22"/>
        </w:rPr>
        <w:object w:dxaOrig="1440" w:dyaOrig="1440" w14:anchorId="06EC499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5in;margin-top:.6pt;width:90.45pt;height:93.6pt;z-index:-251658752;mso-wrap-edited:f" wrapcoords="-188 0 -188 21418 21600 21418 21600 0 -188 0" o:allowincell="f" fillcolor="window">
            <v:imagedata r:id="rId8" o:title=""/>
            <w10:wrap type="tight" side="left"/>
          </v:shape>
          <o:OLEObject Type="Embed" ProgID="Word.Picture.8" ShapeID="_x0000_s1026" DrawAspect="Content" ObjectID="_1667730946" r:id="rId9"/>
        </w:object>
      </w:r>
      <w:r w:rsidR="003777D9" w:rsidRPr="00B21271">
        <w:rPr>
          <w:szCs w:val="22"/>
        </w:rPr>
        <w:t xml:space="preserve">Lai tableti precīzi un viegli sadalītu, novietot tableti ar </w:t>
      </w:r>
      <w:r w:rsidR="009B777C">
        <w:rPr>
          <w:szCs w:val="22"/>
        </w:rPr>
        <w:t>dalījuma līniju</w:t>
      </w:r>
      <w:r w:rsidR="003777D9" w:rsidRPr="00B21271">
        <w:rPr>
          <w:szCs w:val="22"/>
        </w:rPr>
        <w:t xml:space="preserve"> uz augšu un spie</w:t>
      </w:r>
      <w:r w:rsidR="00767448">
        <w:rPr>
          <w:szCs w:val="22"/>
        </w:rPr>
        <w:t>s</w:t>
      </w:r>
      <w:r w:rsidR="003777D9" w:rsidRPr="00B21271">
        <w:rPr>
          <w:szCs w:val="22"/>
        </w:rPr>
        <w:t xml:space="preserve">t uz tabletes ar īkšķi. </w:t>
      </w:r>
    </w:p>
    <w:p w14:paraId="3C8848C7" w14:textId="77777777" w:rsidR="003777D9" w:rsidRPr="00B21271" w:rsidRDefault="003777D9" w:rsidP="00B21271">
      <w:pPr>
        <w:jc w:val="both"/>
        <w:rPr>
          <w:szCs w:val="22"/>
        </w:rPr>
      </w:pPr>
    </w:p>
    <w:p w14:paraId="535CBF3A" w14:textId="77777777" w:rsidR="003777D9" w:rsidRPr="00B21271" w:rsidRDefault="003777D9" w:rsidP="00B21271">
      <w:pPr>
        <w:jc w:val="both"/>
        <w:rPr>
          <w:szCs w:val="22"/>
        </w:rPr>
      </w:pPr>
    </w:p>
    <w:p w14:paraId="2820F21B" w14:textId="77777777" w:rsidR="003777D9" w:rsidRPr="00B21271" w:rsidRDefault="003777D9" w:rsidP="00B21271">
      <w:pPr>
        <w:jc w:val="both"/>
        <w:rPr>
          <w:szCs w:val="22"/>
        </w:rPr>
      </w:pPr>
    </w:p>
    <w:p w14:paraId="549287B1" w14:textId="4EE03809" w:rsidR="003777D9" w:rsidRPr="00B21271" w:rsidRDefault="00A7220C" w:rsidP="00B21271">
      <w:pPr>
        <w:jc w:val="both"/>
        <w:rPr>
          <w:szCs w:val="22"/>
        </w:rPr>
      </w:pPr>
      <w:r w:rsidRPr="00B21271">
        <w:rPr>
          <w:szCs w:val="22"/>
        </w:rPr>
        <w:t>Lai tableti sadalītu divās daļās, tur</w:t>
      </w:r>
      <w:r w:rsidR="00767448">
        <w:rPr>
          <w:szCs w:val="22"/>
        </w:rPr>
        <w:t>ē</w:t>
      </w:r>
      <w:r w:rsidRPr="00B21271">
        <w:rPr>
          <w:szCs w:val="22"/>
        </w:rPr>
        <w:t>t tabletes vienu pusi un spie</w:t>
      </w:r>
      <w:r w:rsidR="00767448">
        <w:rPr>
          <w:szCs w:val="22"/>
        </w:rPr>
        <w:t>s</w:t>
      </w:r>
      <w:r w:rsidRPr="00B21271">
        <w:rPr>
          <w:szCs w:val="22"/>
        </w:rPr>
        <w:t>t uz leju otru pusi.</w:t>
      </w:r>
    </w:p>
    <w:p w14:paraId="146C7482" w14:textId="77777777" w:rsidR="003777D9" w:rsidRPr="00B21271" w:rsidRDefault="003777D9" w:rsidP="00B21271">
      <w:pPr>
        <w:pStyle w:val="Heading2"/>
        <w:jc w:val="both"/>
        <w:rPr>
          <w:szCs w:val="22"/>
        </w:rPr>
      </w:pPr>
      <w:bookmarkStart w:id="14" w:name="_Toc97112340"/>
      <w:r w:rsidRPr="00B21271">
        <w:rPr>
          <w:szCs w:val="22"/>
        </w:rPr>
        <w:t>4.10</w:t>
      </w:r>
      <w:r w:rsidRPr="00DC4249">
        <w:rPr>
          <w:szCs w:val="22"/>
        </w:rPr>
        <w:tab/>
      </w:r>
      <w:r w:rsidRPr="00B21271">
        <w:rPr>
          <w:szCs w:val="22"/>
        </w:rPr>
        <w:t>Pārdozēšana</w:t>
      </w:r>
      <w:bookmarkEnd w:id="14"/>
      <w:r w:rsidRPr="00B21271">
        <w:rPr>
          <w:szCs w:val="22"/>
        </w:rPr>
        <w:t xml:space="preserve"> (simptomi, rīcība ārkārtas situācijā, antidoti), ja nepieciešams</w:t>
      </w:r>
    </w:p>
    <w:p w14:paraId="1FBE6596" w14:textId="6DDA897A" w:rsidR="003777D9" w:rsidRPr="00B21271" w:rsidRDefault="003777D9" w:rsidP="00B21271">
      <w:pPr>
        <w:tabs>
          <w:tab w:val="left" w:pos="-1440"/>
          <w:tab w:val="left" w:pos="-720"/>
        </w:tabs>
        <w:spacing w:before="240" w:after="120"/>
        <w:jc w:val="both"/>
        <w:rPr>
          <w:szCs w:val="22"/>
        </w:rPr>
      </w:pPr>
      <w:r w:rsidRPr="00B21271">
        <w:rPr>
          <w:szCs w:val="22"/>
        </w:rPr>
        <w:t xml:space="preserve">Pēc zāļu pārdozēšanas iespējama tireotoksikoze. Pēc nelielas </w:t>
      </w:r>
      <w:r w:rsidR="00767448">
        <w:rPr>
          <w:szCs w:val="22"/>
        </w:rPr>
        <w:t xml:space="preserve">zāļu </w:t>
      </w:r>
      <w:r w:rsidRPr="00B21271">
        <w:rPr>
          <w:szCs w:val="22"/>
        </w:rPr>
        <w:t xml:space="preserve">pārdozēšanas suņiem tireotoksikoze ir retāk novērota blakusparādība, jo suņu organisms spēj katabolizēt un izvadīt vairogdziedzera hormonus. Pēc nejaušas veterināro zāļu lietošanas lielā devā veterināro zāļu uzsūkšanos iespējams mazināt, izraisot vemšanu un vienreiz iekšķīgi lietojot aktivēto ogli kopā ar magnija sulfātu. </w:t>
      </w:r>
    </w:p>
    <w:p w14:paraId="664BF478" w14:textId="2D05D133" w:rsidR="003777D9" w:rsidRPr="00B21271" w:rsidRDefault="003B15D6" w:rsidP="00CF0E21">
      <w:pPr>
        <w:tabs>
          <w:tab w:val="left" w:pos="-1440"/>
          <w:tab w:val="left" w:pos="-720"/>
        </w:tabs>
        <w:rPr>
          <w:szCs w:val="22"/>
        </w:rPr>
      </w:pPr>
      <w:r w:rsidRPr="00B21271">
        <w:rPr>
          <w:szCs w:val="22"/>
        </w:rPr>
        <w:t>Zāļu lietošana 4 nedēļas</w:t>
      </w:r>
      <w:r w:rsidR="00767448">
        <w:rPr>
          <w:szCs w:val="22"/>
        </w:rPr>
        <w:t xml:space="preserve"> pēc kārtas,</w:t>
      </w:r>
      <w:r w:rsidRPr="00B21271">
        <w:rPr>
          <w:szCs w:val="22"/>
        </w:rPr>
        <w:t xml:space="preserve"> t</w:t>
      </w:r>
      <w:r w:rsidR="003777D9" w:rsidRPr="00B21271">
        <w:rPr>
          <w:szCs w:val="22"/>
        </w:rPr>
        <w:t>rīs līdz sešas reizes</w:t>
      </w:r>
      <w:r w:rsidR="00353FC6" w:rsidRPr="00B21271">
        <w:rPr>
          <w:szCs w:val="22"/>
        </w:rPr>
        <w:t xml:space="preserve"> pārsniedzot </w:t>
      </w:r>
      <w:r w:rsidR="003777D9" w:rsidRPr="00B21271">
        <w:rPr>
          <w:szCs w:val="22"/>
        </w:rPr>
        <w:t xml:space="preserve">marķējumā </w:t>
      </w:r>
      <w:r w:rsidR="00767448">
        <w:rPr>
          <w:szCs w:val="22"/>
        </w:rPr>
        <w:t>no</w:t>
      </w:r>
      <w:r w:rsidR="003777D9" w:rsidRPr="00B21271">
        <w:rPr>
          <w:szCs w:val="22"/>
        </w:rPr>
        <w:t xml:space="preserve">teiktās sākuma devas veseliem, eitireoīdiem suņiem neizraisīja </w:t>
      </w:r>
      <w:r w:rsidR="00767448">
        <w:rPr>
          <w:szCs w:val="22"/>
        </w:rPr>
        <w:t>būtiskas</w:t>
      </w:r>
      <w:r w:rsidR="00767448" w:rsidRPr="00B21271">
        <w:rPr>
          <w:szCs w:val="22"/>
        </w:rPr>
        <w:t xml:space="preserve"> </w:t>
      </w:r>
      <w:r w:rsidR="003777D9" w:rsidRPr="00B21271">
        <w:rPr>
          <w:szCs w:val="22"/>
        </w:rPr>
        <w:t>klīnisk</w:t>
      </w:r>
      <w:r w:rsidR="00465321">
        <w:rPr>
          <w:szCs w:val="22"/>
        </w:rPr>
        <w:t>ā</w:t>
      </w:r>
      <w:r w:rsidR="003777D9" w:rsidRPr="00B21271">
        <w:rPr>
          <w:szCs w:val="22"/>
        </w:rPr>
        <w:t xml:space="preserve">s pazīmes, kuras varētu attiecināt uz </w:t>
      </w:r>
      <w:r w:rsidR="00465321">
        <w:rPr>
          <w:szCs w:val="22"/>
        </w:rPr>
        <w:t>zāļu lietošanu</w:t>
      </w:r>
      <w:r w:rsidR="003777D9" w:rsidRPr="00B21271">
        <w:rPr>
          <w:szCs w:val="22"/>
        </w:rPr>
        <w:t>. Vienreizēja pārdozēšana, kas 3–6 </w:t>
      </w:r>
      <w:r w:rsidR="00465321">
        <w:rPr>
          <w:szCs w:val="22"/>
        </w:rPr>
        <w:t>reizes</w:t>
      </w:r>
      <w:r w:rsidR="003777D9" w:rsidRPr="00B21271">
        <w:rPr>
          <w:szCs w:val="22"/>
        </w:rPr>
        <w:t xml:space="preserve"> pārsniedz ieteikto </w:t>
      </w:r>
      <w:r w:rsidR="00465321">
        <w:rPr>
          <w:szCs w:val="22"/>
        </w:rPr>
        <w:t xml:space="preserve">zāļu </w:t>
      </w:r>
      <w:r w:rsidR="003777D9" w:rsidRPr="00B21271">
        <w:rPr>
          <w:szCs w:val="22"/>
        </w:rPr>
        <w:t xml:space="preserve">devu, sunim nerada apdraudējumu un </w:t>
      </w:r>
      <w:r w:rsidR="00C242E6">
        <w:rPr>
          <w:szCs w:val="22"/>
        </w:rPr>
        <w:t>papildu</w:t>
      </w:r>
      <w:r w:rsidR="003777D9" w:rsidRPr="00B21271">
        <w:rPr>
          <w:szCs w:val="22"/>
        </w:rPr>
        <w:t xml:space="preserve"> </w:t>
      </w:r>
      <w:r w:rsidR="00915BEE">
        <w:rPr>
          <w:szCs w:val="22"/>
        </w:rPr>
        <w:t>rīcība</w:t>
      </w:r>
      <w:r w:rsidR="003777D9" w:rsidRPr="00B21271">
        <w:rPr>
          <w:szCs w:val="22"/>
        </w:rPr>
        <w:t xml:space="preserve"> nav nepieciešama. </w:t>
      </w:r>
      <w:r w:rsidRPr="00B21271">
        <w:rPr>
          <w:szCs w:val="22"/>
        </w:rPr>
        <w:t>H</w:t>
      </w:r>
      <w:r w:rsidR="003777D9" w:rsidRPr="00B21271">
        <w:rPr>
          <w:szCs w:val="22"/>
        </w:rPr>
        <w:t>roniskas pārdozēšanas</w:t>
      </w:r>
      <w:r w:rsidRPr="00B21271">
        <w:rPr>
          <w:szCs w:val="22"/>
        </w:rPr>
        <w:t xml:space="preserve"> gadījumā </w:t>
      </w:r>
      <w:r w:rsidR="003777D9" w:rsidRPr="00B21271">
        <w:rPr>
          <w:szCs w:val="22"/>
        </w:rPr>
        <w:t>teorētiski ir iespējamas hipertireozes klīniskās pazīmes, piemēram, polidipsija, poliūrija,</w:t>
      </w:r>
      <w:r w:rsidR="00834560">
        <w:rPr>
          <w:szCs w:val="22"/>
        </w:rPr>
        <w:t>elšana</w:t>
      </w:r>
      <w:r w:rsidR="003777D9" w:rsidRPr="00B21271">
        <w:rPr>
          <w:szCs w:val="22"/>
        </w:rPr>
        <w:t>, svara zudums bez anoreksijas, tahikardija un/vai nervozitāte. Novērojot šīs pazīmes, nepieciešams veikt T</w:t>
      </w:r>
      <w:r w:rsidR="003777D9" w:rsidRPr="00B21271">
        <w:rPr>
          <w:szCs w:val="22"/>
          <w:vertAlign w:val="subscript"/>
        </w:rPr>
        <w:t>4</w:t>
      </w:r>
      <w:r w:rsidR="003777D9" w:rsidRPr="00B21271">
        <w:rPr>
          <w:szCs w:val="22"/>
        </w:rPr>
        <w:t xml:space="preserve"> koncentrācija</w:t>
      </w:r>
      <w:r w:rsidR="00243357">
        <w:rPr>
          <w:szCs w:val="22"/>
        </w:rPr>
        <w:t>s</w:t>
      </w:r>
      <w:r w:rsidR="003777D9" w:rsidRPr="00B21271">
        <w:rPr>
          <w:szCs w:val="22"/>
        </w:rPr>
        <w:t xml:space="preserve"> </w:t>
      </w:r>
      <w:r w:rsidR="00243357" w:rsidRPr="00952791">
        <w:rPr>
          <w:szCs w:val="22"/>
        </w:rPr>
        <w:t>novērtējumu</w:t>
      </w:r>
      <w:r w:rsidR="00243357" w:rsidRPr="008B2E90">
        <w:rPr>
          <w:szCs w:val="22"/>
        </w:rPr>
        <w:t xml:space="preserve"> </w:t>
      </w:r>
      <w:r w:rsidR="003777D9" w:rsidRPr="00B21271">
        <w:rPr>
          <w:szCs w:val="22"/>
        </w:rPr>
        <w:t>serumā, lai apstiprinātu diagnozi un nekavējoties pārtraukt aizstā</w:t>
      </w:r>
      <w:r w:rsidRPr="00B21271">
        <w:rPr>
          <w:szCs w:val="22"/>
        </w:rPr>
        <w:t>j</w:t>
      </w:r>
      <w:r w:rsidR="003777D9" w:rsidRPr="00B21271">
        <w:rPr>
          <w:szCs w:val="22"/>
        </w:rPr>
        <w:t xml:space="preserve">terapiju. Tiklīdz klīniskie simptomi ir mazinājušies (pēc vairākām dienām vai nedēļām), vairogdziedzera hormonu deva ir </w:t>
      </w:r>
      <w:r w:rsidR="00465321">
        <w:rPr>
          <w:szCs w:val="22"/>
        </w:rPr>
        <w:t>izvērtēta</w:t>
      </w:r>
      <w:r w:rsidR="00465321" w:rsidRPr="00B21271">
        <w:rPr>
          <w:szCs w:val="22"/>
        </w:rPr>
        <w:t xml:space="preserve"> </w:t>
      </w:r>
      <w:r w:rsidR="003777D9" w:rsidRPr="00B21271">
        <w:rPr>
          <w:szCs w:val="22"/>
        </w:rPr>
        <w:t xml:space="preserve">un dzīvnieks ir pilnībā atveseļojies, var atsākt zāļu lietošanu mazākā devā, rūpīgi novērojot dzīvnieka veselības stāvokli. </w:t>
      </w:r>
    </w:p>
    <w:p w14:paraId="0AEE9CA7" w14:textId="53376B97" w:rsidR="003777D9" w:rsidRPr="00B21271" w:rsidRDefault="003777D9" w:rsidP="00B21271">
      <w:pPr>
        <w:pStyle w:val="Heading2"/>
        <w:jc w:val="both"/>
        <w:rPr>
          <w:szCs w:val="22"/>
        </w:rPr>
      </w:pPr>
      <w:bookmarkStart w:id="15" w:name="_Toc97112342"/>
      <w:r w:rsidRPr="00B21271">
        <w:rPr>
          <w:szCs w:val="22"/>
        </w:rPr>
        <w:t>4.11</w:t>
      </w:r>
      <w:r w:rsidRPr="00DC4249">
        <w:rPr>
          <w:szCs w:val="22"/>
        </w:rPr>
        <w:tab/>
      </w:r>
      <w:r w:rsidRPr="00B21271">
        <w:rPr>
          <w:szCs w:val="22"/>
        </w:rPr>
        <w:t>Ierobežojumu period</w:t>
      </w:r>
      <w:r w:rsidR="00915BEE">
        <w:rPr>
          <w:szCs w:val="22"/>
        </w:rPr>
        <w:t>s</w:t>
      </w:r>
      <w:bookmarkEnd w:id="15"/>
      <w:r w:rsidR="004A6E1E" w:rsidRPr="00B21271">
        <w:rPr>
          <w:szCs w:val="22"/>
        </w:rPr>
        <w:t>(-i) dzīvnieku produkcijas izmantošanā</w:t>
      </w:r>
    </w:p>
    <w:p w14:paraId="7EFC6C36" w14:textId="62AD8F66" w:rsidR="003777D9" w:rsidRDefault="003777D9" w:rsidP="00C12BB9">
      <w:pPr>
        <w:tabs>
          <w:tab w:val="left" w:pos="-1440"/>
          <w:tab w:val="left" w:pos="-720"/>
        </w:tabs>
        <w:jc w:val="both"/>
        <w:rPr>
          <w:szCs w:val="22"/>
        </w:rPr>
      </w:pPr>
      <w:r w:rsidRPr="00B21271">
        <w:rPr>
          <w:szCs w:val="22"/>
        </w:rPr>
        <w:t>Nav piemērojams.</w:t>
      </w:r>
    </w:p>
    <w:p w14:paraId="37631A51" w14:textId="77777777" w:rsidR="00B94CBE" w:rsidRPr="00B21271" w:rsidRDefault="00B94CBE" w:rsidP="00B21271">
      <w:pPr>
        <w:tabs>
          <w:tab w:val="left" w:pos="-1440"/>
          <w:tab w:val="left" w:pos="-720"/>
        </w:tabs>
        <w:jc w:val="both"/>
        <w:rPr>
          <w:szCs w:val="22"/>
        </w:rPr>
      </w:pPr>
    </w:p>
    <w:p w14:paraId="34D040A4" w14:textId="77777777" w:rsidR="003777D9" w:rsidRPr="00B21271" w:rsidRDefault="003777D9" w:rsidP="00B21271">
      <w:pPr>
        <w:pStyle w:val="Heading1"/>
        <w:jc w:val="both"/>
        <w:rPr>
          <w:sz w:val="22"/>
          <w:szCs w:val="22"/>
        </w:rPr>
      </w:pPr>
      <w:r w:rsidRPr="00B21271">
        <w:rPr>
          <w:sz w:val="22"/>
          <w:szCs w:val="22"/>
        </w:rPr>
        <w:t xml:space="preserve">5. </w:t>
      </w:r>
      <w:r w:rsidRPr="00B21271">
        <w:rPr>
          <w:sz w:val="22"/>
          <w:szCs w:val="22"/>
        </w:rPr>
        <w:tab/>
        <w:t xml:space="preserve">FARMAKOLOĢISKĀS ĪPAŠĪBAS </w:t>
      </w:r>
    </w:p>
    <w:p w14:paraId="344C9225" w14:textId="65CD04E2" w:rsidR="003777D9" w:rsidRPr="00B21271" w:rsidRDefault="003777D9" w:rsidP="00B21271">
      <w:pPr>
        <w:tabs>
          <w:tab w:val="left" w:pos="-1440"/>
          <w:tab w:val="left" w:pos="-720"/>
        </w:tabs>
        <w:jc w:val="both"/>
        <w:rPr>
          <w:szCs w:val="22"/>
        </w:rPr>
      </w:pPr>
      <w:r w:rsidRPr="00B21271">
        <w:rPr>
          <w:szCs w:val="22"/>
        </w:rPr>
        <w:t>Farmakoterapeitiskā grupa: vairogdziedzera hormoni</w:t>
      </w:r>
      <w:r w:rsidR="004A6E1E">
        <w:rPr>
          <w:szCs w:val="22"/>
        </w:rPr>
        <w:t>.</w:t>
      </w:r>
    </w:p>
    <w:p w14:paraId="788F629D" w14:textId="42B33FE5" w:rsidR="003777D9" w:rsidRPr="00B21271" w:rsidRDefault="003777D9" w:rsidP="00B21271">
      <w:pPr>
        <w:jc w:val="both"/>
        <w:rPr>
          <w:szCs w:val="22"/>
        </w:rPr>
      </w:pPr>
      <w:r w:rsidRPr="00B21271">
        <w:rPr>
          <w:szCs w:val="22"/>
        </w:rPr>
        <w:t>ATĶ vet kods: QH03AA01.</w:t>
      </w:r>
    </w:p>
    <w:p w14:paraId="2FC724AF" w14:textId="77777777" w:rsidR="003777D9" w:rsidRPr="00B21271" w:rsidRDefault="003777D9" w:rsidP="00B21271">
      <w:pPr>
        <w:pStyle w:val="Heading2"/>
        <w:jc w:val="both"/>
        <w:rPr>
          <w:szCs w:val="22"/>
        </w:rPr>
      </w:pPr>
      <w:r w:rsidRPr="00B21271">
        <w:rPr>
          <w:szCs w:val="22"/>
        </w:rPr>
        <w:t>5.1</w:t>
      </w:r>
      <w:r w:rsidRPr="00DC4249">
        <w:rPr>
          <w:szCs w:val="22"/>
        </w:rPr>
        <w:tab/>
      </w:r>
      <w:r w:rsidRPr="00B21271">
        <w:rPr>
          <w:szCs w:val="22"/>
        </w:rPr>
        <w:t>Farmakodinamiskās īpašības</w:t>
      </w:r>
    </w:p>
    <w:p w14:paraId="05D72CF6" w14:textId="0F8AAF45" w:rsidR="003777D9" w:rsidRPr="00B21271" w:rsidRDefault="003777D9" w:rsidP="00B21271">
      <w:pPr>
        <w:tabs>
          <w:tab w:val="left" w:pos="-1440"/>
          <w:tab w:val="left" w:pos="-720"/>
        </w:tabs>
        <w:jc w:val="both"/>
        <w:rPr>
          <w:szCs w:val="22"/>
        </w:rPr>
      </w:pPr>
      <w:r w:rsidRPr="00B21271">
        <w:rPr>
          <w:szCs w:val="22"/>
        </w:rPr>
        <w:t xml:space="preserve">Farmakoloģiski levotiroksīns </w:t>
      </w:r>
      <w:r w:rsidR="008F6EA1">
        <w:rPr>
          <w:szCs w:val="22"/>
        </w:rPr>
        <w:t xml:space="preserve">ir </w:t>
      </w:r>
      <w:r w:rsidRPr="00B21271">
        <w:rPr>
          <w:szCs w:val="22"/>
        </w:rPr>
        <w:t xml:space="preserve">klasificēts kā hormonāls preparāts, kas aizstāj organismam trūkstošos endogēnos hormonus. </w:t>
      </w:r>
    </w:p>
    <w:p w14:paraId="2AE4959C" w14:textId="77777777" w:rsidR="003777D9" w:rsidRPr="00B21271" w:rsidRDefault="003777D9" w:rsidP="00B21271">
      <w:pPr>
        <w:jc w:val="both"/>
        <w:rPr>
          <w:szCs w:val="22"/>
        </w:rPr>
      </w:pPr>
    </w:p>
    <w:p w14:paraId="1E4C5D03" w14:textId="2E905493" w:rsidR="003777D9" w:rsidRPr="00B21271" w:rsidRDefault="003777D9" w:rsidP="00B21271">
      <w:pPr>
        <w:jc w:val="both"/>
        <w:rPr>
          <w:szCs w:val="22"/>
        </w:rPr>
      </w:pPr>
      <w:r w:rsidRPr="00B21271">
        <w:rPr>
          <w:szCs w:val="22"/>
        </w:rPr>
        <w:t>Levotiroksīns T</w:t>
      </w:r>
      <w:r w:rsidRPr="00B21271">
        <w:rPr>
          <w:szCs w:val="22"/>
          <w:vertAlign w:val="subscript"/>
        </w:rPr>
        <w:t>4</w:t>
      </w:r>
      <w:r w:rsidRPr="00B21271">
        <w:rPr>
          <w:szCs w:val="22"/>
        </w:rPr>
        <w:t xml:space="preserve"> tiek pārveidots par trijodtironīnu T</w:t>
      </w:r>
      <w:r w:rsidRPr="00B21271">
        <w:rPr>
          <w:szCs w:val="22"/>
          <w:vertAlign w:val="subscript"/>
        </w:rPr>
        <w:t>3</w:t>
      </w:r>
      <w:r w:rsidRPr="00B21271">
        <w:rPr>
          <w:szCs w:val="22"/>
        </w:rPr>
        <w:t>. T</w:t>
      </w:r>
      <w:r w:rsidRPr="00B21271">
        <w:rPr>
          <w:szCs w:val="22"/>
          <w:vertAlign w:val="subscript"/>
        </w:rPr>
        <w:t>3</w:t>
      </w:r>
      <w:r w:rsidRPr="00B21271">
        <w:rPr>
          <w:szCs w:val="22"/>
        </w:rPr>
        <w:t xml:space="preserve"> šūnu procesos darbojas specifiskā liganda</w:t>
      </w:r>
      <w:r w:rsidR="00C47C14">
        <w:rPr>
          <w:szCs w:val="22"/>
        </w:rPr>
        <w:noBreakHyphen/>
      </w:r>
      <w:r w:rsidRPr="00B21271">
        <w:rPr>
          <w:szCs w:val="22"/>
        </w:rPr>
        <w:t>receptora mijiedarbībā ar šūnas kodolu, mitohondrijiem un plazmas membrānu. T</w:t>
      </w:r>
      <w:r w:rsidRPr="00B21271">
        <w:rPr>
          <w:szCs w:val="22"/>
          <w:vertAlign w:val="subscript"/>
        </w:rPr>
        <w:t>3</w:t>
      </w:r>
      <w:r w:rsidRPr="00B21271">
        <w:rPr>
          <w:szCs w:val="22"/>
        </w:rPr>
        <w:t xml:space="preserve"> mijiedarbība ar saistīšanās vietām izraisa </w:t>
      </w:r>
      <w:r w:rsidR="00C47C14">
        <w:rPr>
          <w:szCs w:val="22"/>
        </w:rPr>
        <w:t>pastiprinātu</w:t>
      </w:r>
      <w:r w:rsidR="00C47C14" w:rsidRPr="00B21271">
        <w:rPr>
          <w:szCs w:val="22"/>
        </w:rPr>
        <w:t xml:space="preserve"> </w:t>
      </w:r>
      <w:r w:rsidRPr="00B21271">
        <w:rPr>
          <w:szCs w:val="22"/>
        </w:rPr>
        <w:t xml:space="preserve">DNS transkripciju vai RNS modulāciju, tādējādi ietekmējot </w:t>
      </w:r>
      <w:r w:rsidRPr="00B21271">
        <w:rPr>
          <w:szCs w:val="22"/>
        </w:rPr>
        <w:lastRenderedPageBreak/>
        <w:t>proteīnu sintēzi un enzīmu darbību.</w:t>
      </w:r>
    </w:p>
    <w:p w14:paraId="7298FFAC" w14:textId="77777777" w:rsidR="003777D9" w:rsidRPr="00B21271" w:rsidRDefault="003777D9" w:rsidP="00B21271">
      <w:pPr>
        <w:jc w:val="both"/>
        <w:rPr>
          <w:szCs w:val="22"/>
        </w:rPr>
      </w:pPr>
    </w:p>
    <w:p w14:paraId="7295638A" w14:textId="77777777" w:rsidR="003777D9" w:rsidRPr="00B21271" w:rsidRDefault="003777D9" w:rsidP="00B21271">
      <w:pPr>
        <w:jc w:val="both"/>
        <w:rPr>
          <w:szCs w:val="22"/>
        </w:rPr>
      </w:pPr>
      <w:r w:rsidRPr="00B21271">
        <w:rPr>
          <w:szCs w:val="22"/>
        </w:rPr>
        <w:t xml:space="preserve">Vairogdziedzera hormoni darbojas dažādos šūnu procesos. Augošiem dzīvniekiem un cilvēkiem šie hormoni ir ārkārtīgi svarīgi normālai attīstībai, it īpaši centrālai nervu sistēmai. Vairogdziedzera hormonu aizstājterapija uzlabo bazālo šūnu vielmaiņu un skābekļa patēriņu, tādējādi praktiski ietekmējot visu orgānu sistēmu darbību. </w:t>
      </w:r>
    </w:p>
    <w:p w14:paraId="6818A149" w14:textId="77777777" w:rsidR="003777D9" w:rsidRPr="00B21271" w:rsidRDefault="003777D9" w:rsidP="00B21271">
      <w:pPr>
        <w:pStyle w:val="Heading2"/>
        <w:jc w:val="both"/>
        <w:rPr>
          <w:szCs w:val="22"/>
        </w:rPr>
      </w:pPr>
      <w:r w:rsidRPr="00B21271">
        <w:rPr>
          <w:szCs w:val="22"/>
        </w:rPr>
        <w:t>5.2</w:t>
      </w:r>
      <w:r w:rsidRPr="00DC4249">
        <w:rPr>
          <w:szCs w:val="22"/>
        </w:rPr>
        <w:tab/>
      </w:r>
      <w:r w:rsidRPr="00B21271">
        <w:rPr>
          <w:szCs w:val="22"/>
        </w:rPr>
        <w:t>Farmakokinētiskie dati</w:t>
      </w:r>
    </w:p>
    <w:p w14:paraId="13F06CFA" w14:textId="350DD6DF" w:rsidR="003777D9" w:rsidRDefault="003777D9" w:rsidP="00C12BB9">
      <w:pPr>
        <w:jc w:val="both"/>
        <w:rPr>
          <w:szCs w:val="22"/>
        </w:rPr>
      </w:pPr>
      <w:r w:rsidRPr="00B21271">
        <w:rPr>
          <w:szCs w:val="22"/>
        </w:rPr>
        <w:t xml:space="preserve">Daļai suņu L-tiroksīns pastāvīgi vai nu labāk uzsūcās organismā un/vai tika no tā izvadīts lēnāk nekā citiem suņiem. </w:t>
      </w:r>
      <w:r w:rsidR="00AB5D2E">
        <w:rPr>
          <w:szCs w:val="22"/>
        </w:rPr>
        <w:t>L</w:t>
      </w:r>
      <w:r w:rsidRPr="00B21271">
        <w:rPr>
          <w:szCs w:val="22"/>
        </w:rPr>
        <w:t xml:space="preserve">evotiroksīna nātrija sāls dienas deva ietekmē uzsūkšanās un eliminācijas ātrumu (liels uzsūkšanās ātrums/mazs eliminācijas ātrums mazas devas gadījumā un otrādi lielas devas gadījumā). Farmakokinētisko parametru mainīgums atsevišķiem suņiem ir </w:t>
      </w:r>
      <w:r w:rsidR="00CF0E21">
        <w:rPr>
          <w:szCs w:val="22"/>
        </w:rPr>
        <w:t>ievērojams</w:t>
      </w:r>
      <w:r w:rsidRPr="00B21271">
        <w:rPr>
          <w:szCs w:val="22"/>
        </w:rPr>
        <w:t xml:space="preserve"> un, lai gan uzsūkšanos var ietekmēt barības klātbūtne, tiek uzskatīts, ka tās ietekme uz parametriem kopumā ir maza. Uzsūkšan</w:t>
      </w:r>
      <w:r w:rsidR="00AB5D2E">
        <w:rPr>
          <w:szCs w:val="22"/>
        </w:rPr>
        <w:t>ā</w:t>
      </w:r>
      <w:r w:rsidRPr="00B21271">
        <w:rPr>
          <w:szCs w:val="22"/>
        </w:rPr>
        <w:t xml:space="preserve">s ir relatīvi lēna un nepilnīga: </w:t>
      </w:r>
      <w:r w:rsidR="00AB5D2E">
        <w:rPr>
          <w:szCs w:val="22"/>
        </w:rPr>
        <w:t>v</w:t>
      </w:r>
      <w:r w:rsidRPr="00B21271">
        <w:rPr>
          <w:szCs w:val="22"/>
        </w:rPr>
        <w:t>airumā gadījumu T</w:t>
      </w:r>
      <w:r w:rsidRPr="00B21271">
        <w:rPr>
          <w:szCs w:val="22"/>
          <w:vertAlign w:val="subscript"/>
        </w:rPr>
        <w:t>maks.</w:t>
      </w:r>
      <w:r w:rsidRPr="00B21271">
        <w:rPr>
          <w:szCs w:val="22"/>
        </w:rPr>
        <w:t xml:space="preserve"> vērtība tiek sasniegta 1</w:t>
      </w:r>
      <w:r w:rsidR="00AB5D2E">
        <w:rPr>
          <w:szCs w:val="22"/>
        </w:rPr>
        <w:t>-</w:t>
      </w:r>
      <w:r w:rsidRPr="00B21271">
        <w:rPr>
          <w:szCs w:val="22"/>
        </w:rPr>
        <w:t>5 stundā</w:t>
      </w:r>
      <w:r w:rsidR="00AB5D2E">
        <w:rPr>
          <w:szCs w:val="22"/>
        </w:rPr>
        <w:t>s</w:t>
      </w:r>
      <w:r w:rsidRPr="00B21271">
        <w:rPr>
          <w:szCs w:val="22"/>
        </w:rPr>
        <w:t xml:space="preserve"> pēc iekšķīgas lietošanas; vidējā C</w:t>
      </w:r>
      <w:r w:rsidRPr="00B21271">
        <w:rPr>
          <w:szCs w:val="22"/>
          <w:vertAlign w:val="subscript"/>
        </w:rPr>
        <w:t>maks.</w:t>
      </w:r>
      <w:r w:rsidRPr="00B21271">
        <w:rPr>
          <w:szCs w:val="22"/>
        </w:rPr>
        <w:t xml:space="preserve"> vērtība dažādiem suņiem, lietojot vienādas devas, atšķiras vairāk nekā 3 reizes. Suņiem, kuri saņēmuši pareizas devas, maksimālais līmenis plazmā tuvojas vai nedaudz pārsniedz normāl</w:t>
      </w:r>
      <w:r w:rsidR="00AB5D2E">
        <w:rPr>
          <w:szCs w:val="22"/>
        </w:rPr>
        <w:t>a</w:t>
      </w:r>
      <w:r w:rsidRPr="00B21271">
        <w:rPr>
          <w:szCs w:val="22"/>
        </w:rPr>
        <w:t xml:space="preserve"> T</w:t>
      </w:r>
      <w:r w:rsidRPr="00B21271">
        <w:rPr>
          <w:szCs w:val="22"/>
          <w:vertAlign w:val="subscript"/>
        </w:rPr>
        <w:t>4</w:t>
      </w:r>
      <w:r w:rsidRPr="00B21271">
        <w:rPr>
          <w:szCs w:val="22"/>
        </w:rPr>
        <w:t xml:space="preserve"> līmeņa plazmā augšējo robežvērtību un 12 stundu laikā pēc iekšķīgas lietošanas T</w:t>
      </w:r>
      <w:r w:rsidRPr="00B21271">
        <w:rPr>
          <w:szCs w:val="22"/>
          <w:vertAlign w:val="subscript"/>
        </w:rPr>
        <w:t>4</w:t>
      </w:r>
      <w:r w:rsidRPr="00B21271">
        <w:rPr>
          <w:szCs w:val="22"/>
        </w:rPr>
        <w:t xml:space="preserve"> līmenis plazmā parasti samazinās līdz zemāk</w:t>
      </w:r>
      <w:r w:rsidR="00AB5D2E">
        <w:rPr>
          <w:szCs w:val="22"/>
        </w:rPr>
        <w:t>ās</w:t>
      </w:r>
      <w:r w:rsidRPr="00B21271">
        <w:rPr>
          <w:szCs w:val="22"/>
        </w:rPr>
        <w:t xml:space="preserve"> normas robežas pusei. Hipotireozes gadījumā T</w:t>
      </w:r>
      <w:r w:rsidRPr="00B21271">
        <w:rPr>
          <w:szCs w:val="22"/>
          <w:vertAlign w:val="subscript"/>
        </w:rPr>
        <w:t>4</w:t>
      </w:r>
      <w:r w:rsidRPr="00B21271">
        <w:rPr>
          <w:szCs w:val="22"/>
        </w:rPr>
        <w:t xml:space="preserve"> izzušanas ātrums no plazmas ir palēnināts. Lielu daļu tiroksīna uzņem aknas. L-tiroksīns saistās ar plazmas proteīniem un plazmas lipoproteīniem. Daļa no tiroksīna devas joda atbrīvošanās procesā tiek metabolizēta par spēcīgāku trijodtironīnu (T</w:t>
      </w:r>
      <w:r w:rsidRPr="00B21271">
        <w:rPr>
          <w:szCs w:val="22"/>
          <w:vertAlign w:val="subscript"/>
        </w:rPr>
        <w:t>3</w:t>
      </w:r>
      <w:r w:rsidRPr="00B21271">
        <w:rPr>
          <w:szCs w:val="22"/>
        </w:rPr>
        <w:t>). Joda atbrīvošanās process turpinās. Šiem metabolisma produktiem, kuros atbrīvots jods (izņemot T</w:t>
      </w:r>
      <w:r w:rsidRPr="00B21271">
        <w:rPr>
          <w:szCs w:val="22"/>
          <w:vertAlign w:val="subscript"/>
        </w:rPr>
        <w:t>3</w:t>
      </w:r>
      <w:r w:rsidRPr="00B21271">
        <w:rPr>
          <w:szCs w:val="22"/>
        </w:rPr>
        <w:t xml:space="preserve"> un T</w:t>
      </w:r>
      <w:r w:rsidRPr="00B21271">
        <w:rPr>
          <w:szCs w:val="22"/>
          <w:vertAlign w:val="subscript"/>
        </w:rPr>
        <w:t>4</w:t>
      </w:r>
      <w:r w:rsidRPr="00B21271">
        <w:rPr>
          <w:szCs w:val="22"/>
        </w:rPr>
        <w:t xml:space="preserve">), nepiemīt </w:t>
      </w:r>
      <w:r w:rsidR="00272193">
        <w:rPr>
          <w:szCs w:val="22"/>
        </w:rPr>
        <w:t>tireomimētiskā</w:t>
      </w:r>
      <w:r w:rsidRPr="00B21271">
        <w:rPr>
          <w:szCs w:val="22"/>
        </w:rPr>
        <w:t xml:space="preserve"> aktivitāte. Citi vairogdziedzera hormonu metabolisma ceļi ietver konjugāciju, veidojot šķīstošus glikuronīdus un sulfātus ekskrēcijai ar žulti vai urīnu, kā arī jodotironīna molekulas ētera saites šķelšanu. Suņiem vairāk nekā 50</w:t>
      </w:r>
      <w:r w:rsidR="00272193">
        <w:rPr>
          <w:szCs w:val="22"/>
        </w:rPr>
        <w:t> </w:t>
      </w:r>
      <w:r w:rsidRPr="00B21271">
        <w:rPr>
          <w:szCs w:val="22"/>
        </w:rPr>
        <w:t>% no dien</w:t>
      </w:r>
      <w:r w:rsidR="00272193">
        <w:rPr>
          <w:szCs w:val="22"/>
        </w:rPr>
        <w:t>ā</w:t>
      </w:r>
      <w:r w:rsidRPr="00B21271">
        <w:rPr>
          <w:szCs w:val="22"/>
        </w:rPr>
        <w:t xml:space="preserve"> </w:t>
      </w:r>
      <w:r w:rsidR="00272193">
        <w:rPr>
          <w:szCs w:val="22"/>
        </w:rPr>
        <w:t>sa</w:t>
      </w:r>
      <w:r w:rsidRPr="00B21271">
        <w:rPr>
          <w:szCs w:val="22"/>
        </w:rPr>
        <w:t>ražotā T</w:t>
      </w:r>
      <w:r w:rsidRPr="00B21271">
        <w:rPr>
          <w:szCs w:val="22"/>
          <w:vertAlign w:val="subscript"/>
        </w:rPr>
        <w:t>4</w:t>
      </w:r>
      <w:r w:rsidRPr="00B21271">
        <w:rPr>
          <w:szCs w:val="22"/>
        </w:rPr>
        <w:t xml:space="preserve"> tiek zaudēts </w:t>
      </w:r>
      <w:r w:rsidR="00272193">
        <w:rPr>
          <w:szCs w:val="22"/>
        </w:rPr>
        <w:t>ar fekālijām</w:t>
      </w:r>
      <w:r w:rsidRPr="00B21271">
        <w:rPr>
          <w:szCs w:val="22"/>
        </w:rPr>
        <w:t>. T</w:t>
      </w:r>
      <w:r w:rsidRPr="00B21271">
        <w:rPr>
          <w:szCs w:val="22"/>
          <w:vertAlign w:val="subscript"/>
        </w:rPr>
        <w:t>4</w:t>
      </w:r>
      <w:r w:rsidRPr="00B21271">
        <w:rPr>
          <w:szCs w:val="22"/>
        </w:rPr>
        <w:t xml:space="preserve"> rezerves organismā</w:t>
      </w:r>
      <w:r w:rsidR="003B15D6" w:rsidRPr="00B21271">
        <w:rPr>
          <w:szCs w:val="22"/>
        </w:rPr>
        <w:t>, kas atrodas</w:t>
      </w:r>
      <w:r w:rsidRPr="00B21271">
        <w:rPr>
          <w:szCs w:val="22"/>
        </w:rPr>
        <w:t xml:space="preserve"> ārpus vairogdziedzera</w:t>
      </w:r>
      <w:r w:rsidR="003B15D6" w:rsidRPr="00B21271">
        <w:rPr>
          <w:szCs w:val="22"/>
        </w:rPr>
        <w:t>,</w:t>
      </w:r>
      <w:r w:rsidRPr="00B21271">
        <w:rPr>
          <w:szCs w:val="22"/>
        </w:rPr>
        <w:t xml:space="preserve"> tiek izvadītas un aizstātas aptuveni 1 dienas laikā. </w:t>
      </w:r>
    </w:p>
    <w:p w14:paraId="32EA863C" w14:textId="77777777" w:rsidR="00BE5DDC" w:rsidRPr="00B21271" w:rsidRDefault="00BE5DDC" w:rsidP="00B21271">
      <w:pPr>
        <w:jc w:val="both"/>
        <w:rPr>
          <w:szCs w:val="22"/>
        </w:rPr>
      </w:pPr>
    </w:p>
    <w:p w14:paraId="0991652D" w14:textId="77777777" w:rsidR="003777D9" w:rsidRPr="00B21271" w:rsidRDefault="003777D9" w:rsidP="00B21271">
      <w:pPr>
        <w:pStyle w:val="Heading1"/>
        <w:jc w:val="both"/>
        <w:rPr>
          <w:sz w:val="22"/>
          <w:szCs w:val="22"/>
        </w:rPr>
      </w:pPr>
      <w:bookmarkStart w:id="16" w:name="_Toc97112344"/>
      <w:r w:rsidRPr="00B21271">
        <w:rPr>
          <w:sz w:val="22"/>
          <w:szCs w:val="22"/>
        </w:rPr>
        <w:t>6.</w:t>
      </w:r>
      <w:r w:rsidRPr="00B21271">
        <w:rPr>
          <w:sz w:val="22"/>
          <w:szCs w:val="22"/>
        </w:rPr>
        <w:tab/>
        <w:t>FARMACEITISKĀ INFORMĀCIJA</w:t>
      </w:r>
      <w:bookmarkEnd w:id="16"/>
    </w:p>
    <w:p w14:paraId="29E32539" w14:textId="77777777" w:rsidR="003777D9" w:rsidRPr="00B21271" w:rsidRDefault="003777D9" w:rsidP="00B21271">
      <w:pPr>
        <w:pStyle w:val="Heading2"/>
        <w:jc w:val="both"/>
        <w:rPr>
          <w:szCs w:val="22"/>
        </w:rPr>
      </w:pPr>
      <w:bookmarkStart w:id="17" w:name="_Toc97112345"/>
      <w:r w:rsidRPr="00B21271">
        <w:rPr>
          <w:szCs w:val="22"/>
        </w:rPr>
        <w:t>6.1</w:t>
      </w:r>
      <w:r w:rsidRPr="00DC4249">
        <w:rPr>
          <w:szCs w:val="22"/>
        </w:rPr>
        <w:tab/>
      </w:r>
      <w:r w:rsidRPr="00B21271">
        <w:rPr>
          <w:szCs w:val="22"/>
        </w:rPr>
        <w:t>Palīgvielu saraksts</w:t>
      </w:r>
    </w:p>
    <w:p w14:paraId="0A17C630" w14:textId="77777777" w:rsidR="003777D9" w:rsidRPr="00B21271" w:rsidRDefault="003777D9" w:rsidP="00B21271">
      <w:pPr>
        <w:pStyle w:val="BodyText"/>
        <w:jc w:val="both"/>
        <w:rPr>
          <w:color w:val="auto"/>
          <w:szCs w:val="22"/>
        </w:rPr>
      </w:pPr>
      <w:r w:rsidRPr="00B21271">
        <w:rPr>
          <w:color w:val="auto"/>
          <w:szCs w:val="22"/>
        </w:rPr>
        <w:t xml:space="preserve">Kalcija hidrogēnfosfāta dihidrāts </w:t>
      </w:r>
    </w:p>
    <w:p w14:paraId="4D1AE80B" w14:textId="025DC8E0" w:rsidR="003777D9" w:rsidRPr="00B21271" w:rsidRDefault="002C6FE9" w:rsidP="00B21271">
      <w:pPr>
        <w:pStyle w:val="BodyText"/>
        <w:jc w:val="both"/>
        <w:rPr>
          <w:color w:val="auto"/>
          <w:szCs w:val="22"/>
        </w:rPr>
      </w:pPr>
      <w:r>
        <w:rPr>
          <w:color w:val="auto"/>
          <w:szCs w:val="22"/>
        </w:rPr>
        <w:t>C</w:t>
      </w:r>
      <w:r w:rsidRPr="007254A0">
        <w:rPr>
          <w:color w:val="auto"/>
          <w:szCs w:val="22"/>
        </w:rPr>
        <w:t>eluloze</w:t>
      </w:r>
      <w:r>
        <w:rPr>
          <w:color w:val="auto"/>
          <w:szCs w:val="22"/>
        </w:rPr>
        <w:t>,</w:t>
      </w:r>
      <w:r w:rsidRPr="007254A0">
        <w:rPr>
          <w:color w:val="auto"/>
          <w:szCs w:val="22"/>
        </w:rPr>
        <w:t xml:space="preserve"> </w:t>
      </w:r>
      <w:r>
        <w:rPr>
          <w:color w:val="auto"/>
          <w:szCs w:val="22"/>
        </w:rPr>
        <w:t>m</w:t>
      </w:r>
      <w:r w:rsidR="003777D9" w:rsidRPr="00B21271">
        <w:rPr>
          <w:color w:val="auto"/>
          <w:szCs w:val="22"/>
        </w:rPr>
        <w:t xml:space="preserve">ikrokristāliskā </w:t>
      </w:r>
    </w:p>
    <w:p w14:paraId="1C44C836" w14:textId="77777777" w:rsidR="003777D9" w:rsidRPr="00B21271" w:rsidRDefault="003777D9" w:rsidP="00B21271">
      <w:pPr>
        <w:pStyle w:val="BodyText"/>
        <w:jc w:val="both"/>
        <w:rPr>
          <w:color w:val="auto"/>
          <w:szCs w:val="22"/>
        </w:rPr>
      </w:pPr>
      <w:r w:rsidRPr="00B21271">
        <w:rPr>
          <w:color w:val="auto"/>
          <w:szCs w:val="22"/>
        </w:rPr>
        <w:t xml:space="preserve">Nātrija cietes glikolāts (A tips) </w:t>
      </w:r>
    </w:p>
    <w:p w14:paraId="15C18DC5" w14:textId="77777777" w:rsidR="003777D9" w:rsidRPr="00B21271" w:rsidRDefault="003777D9" w:rsidP="00B21271">
      <w:pPr>
        <w:jc w:val="both"/>
        <w:rPr>
          <w:szCs w:val="22"/>
        </w:rPr>
      </w:pPr>
      <w:r w:rsidRPr="00B21271">
        <w:rPr>
          <w:szCs w:val="22"/>
        </w:rPr>
        <w:t xml:space="preserve">Magnija stearāts </w:t>
      </w:r>
    </w:p>
    <w:p w14:paraId="3D68835A" w14:textId="6EF9034C" w:rsidR="005E5531" w:rsidRPr="00B21271" w:rsidRDefault="00041F5D" w:rsidP="00B21271">
      <w:pPr>
        <w:jc w:val="both"/>
        <w:rPr>
          <w:szCs w:val="22"/>
        </w:rPr>
      </w:pPr>
      <w:r>
        <w:rPr>
          <w:szCs w:val="22"/>
        </w:rPr>
        <w:t>Gaļas aromatizētājs, dabisks</w:t>
      </w:r>
    </w:p>
    <w:p w14:paraId="6D83E3CB" w14:textId="10913B1A" w:rsidR="003777D9" w:rsidRPr="00B21271" w:rsidRDefault="003777D9" w:rsidP="00B21271">
      <w:pPr>
        <w:pStyle w:val="Heading2"/>
        <w:jc w:val="both"/>
        <w:rPr>
          <w:szCs w:val="22"/>
        </w:rPr>
      </w:pPr>
      <w:r w:rsidRPr="00B21271">
        <w:rPr>
          <w:szCs w:val="22"/>
        </w:rPr>
        <w:t>6.2</w:t>
      </w:r>
      <w:r w:rsidRPr="00C12BB9">
        <w:rPr>
          <w:szCs w:val="22"/>
        </w:rPr>
        <w:tab/>
      </w:r>
      <w:r w:rsidR="00BE5DDC" w:rsidRPr="00B21271">
        <w:rPr>
          <w:color w:val="000000"/>
        </w:rPr>
        <w:t xml:space="preserve">Būtiska </w:t>
      </w:r>
      <w:r w:rsidR="00BE5DDC">
        <w:rPr>
          <w:szCs w:val="22"/>
        </w:rPr>
        <w:t>n</w:t>
      </w:r>
      <w:r w:rsidRPr="00B21271">
        <w:rPr>
          <w:szCs w:val="22"/>
        </w:rPr>
        <w:t>esaderība</w:t>
      </w:r>
      <w:bookmarkEnd w:id="17"/>
      <w:r w:rsidRPr="00B21271">
        <w:rPr>
          <w:szCs w:val="22"/>
        </w:rPr>
        <w:t xml:space="preserve"> </w:t>
      </w:r>
    </w:p>
    <w:p w14:paraId="77C6C340" w14:textId="659CBCE6" w:rsidR="003777D9" w:rsidRPr="00B21271" w:rsidRDefault="003777D9" w:rsidP="00B21271">
      <w:pPr>
        <w:tabs>
          <w:tab w:val="left" w:pos="-1440"/>
          <w:tab w:val="left" w:pos="-720"/>
        </w:tabs>
        <w:jc w:val="both"/>
        <w:rPr>
          <w:szCs w:val="22"/>
        </w:rPr>
      </w:pPr>
      <w:r w:rsidRPr="00B21271">
        <w:rPr>
          <w:szCs w:val="22"/>
        </w:rPr>
        <w:t>Nav piemērojam</w:t>
      </w:r>
      <w:r w:rsidR="00E4216F">
        <w:rPr>
          <w:szCs w:val="22"/>
        </w:rPr>
        <w:t>a</w:t>
      </w:r>
      <w:r w:rsidRPr="00B21271">
        <w:rPr>
          <w:szCs w:val="22"/>
        </w:rPr>
        <w:t>.</w:t>
      </w:r>
    </w:p>
    <w:p w14:paraId="1F3D6CA8" w14:textId="77777777" w:rsidR="003777D9" w:rsidRPr="00B21271" w:rsidRDefault="003777D9" w:rsidP="00B21271">
      <w:pPr>
        <w:pStyle w:val="Heading2"/>
        <w:jc w:val="both"/>
        <w:rPr>
          <w:szCs w:val="22"/>
        </w:rPr>
      </w:pPr>
      <w:bookmarkStart w:id="18" w:name="_Toc97112346"/>
      <w:r w:rsidRPr="00B21271">
        <w:rPr>
          <w:szCs w:val="22"/>
        </w:rPr>
        <w:t>6.3</w:t>
      </w:r>
      <w:r w:rsidRPr="00C12BB9">
        <w:rPr>
          <w:szCs w:val="22"/>
        </w:rPr>
        <w:tab/>
      </w:r>
      <w:r w:rsidRPr="00B21271">
        <w:rPr>
          <w:szCs w:val="22"/>
        </w:rPr>
        <w:t>Derīguma termiņš</w:t>
      </w:r>
      <w:bookmarkEnd w:id="18"/>
    </w:p>
    <w:p w14:paraId="127E2CFF" w14:textId="77777777" w:rsidR="003777D9" w:rsidRPr="00B21271" w:rsidRDefault="003777D9" w:rsidP="00B21271">
      <w:pPr>
        <w:jc w:val="both"/>
        <w:rPr>
          <w:szCs w:val="22"/>
        </w:rPr>
      </w:pPr>
      <w:r w:rsidRPr="00B21271">
        <w:rPr>
          <w:szCs w:val="22"/>
        </w:rPr>
        <w:t xml:space="preserve">Veterināro zāļu derīguma termiņš izplatīšanai paredzētā iepakojumā: 2 gadi. </w:t>
      </w:r>
    </w:p>
    <w:p w14:paraId="0965E8E5" w14:textId="42D7F9A6" w:rsidR="0081159B" w:rsidRPr="00B21271" w:rsidRDefault="002C6FE9" w:rsidP="00B21271">
      <w:pPr>
        <w:jc w:val="both"/>
        <w:rPr>
          <w:spacing w:val="-3"/>
          <w:szCs w:val="22"/>
        </w:rPr>
      </w:pPr>
      <w:bookmarkStart w:id="19" w:name="_Toc97112347"/>
      <w:r>
        <w:rPr>
          <w:szCs w:val="22"/>
        </w:rPr>
        <w:t xml:space="preserve">Derīguma termiņš sadalītai </w:t>
      </w:r>
      <w:r w:rsidR="00D07222" w:rsidRPr="00B21271">
        <w:rPr>
          <w:szCs w:val="22"/>
        </w:rPr>
        <w:t>tablete</w:t>
      </w:r>
      <w:r>
        <w:rPr>
          <w:szCs w:val="22"/>
        </w:rPr>
        <w:t>i</w:t>
      </w:r>
      <w:r w:rsidR="00D07222" w:rsidRPr="00B21271">
        <w:rPr>
          <w:szCs w:val="22"/>
        </w:rPr>
        <w:t>: 4 dienas.</w:t>
      </w:r>
    </w:p>
    <w:p w14:paraId="25A446C0" w14:textId="77777777" w:rsidR="003777D9" w:rsidRPr="00B21271" w:rsidRDefault="003777D9" w:rsidP="00B21271">
      <w:pPr>
        <w:pStyle w:val="Heading2"/>
        <w:jc w:val="both"/>
        <w:rPr>
          <w:szCs w:val="22"/>
        </w:rPr>
      </w:pPr>
      <w:r w:rsidRPr="00B21271">
        <w:rPr>
          <w:szCs w:val="22"/>
        </w:rPr>
        <w:t>6.4</w:t>
      </w:r>
      <w:r w:rsidRPr="00C12BB9">
        <w:rPr>
          <w:szCs w:val="22"/>
        </w:rPr>
        <w:tab/>
      </w:r>
      <w:r w:rsidRPr="00B21271">
        <w:rPr>
          <w:szCs w:val="22"/>
        </w:rPr>
        <w:t>Īpaši uzglabāšanas nosacījumi</w:t>
      </w:r>
      <w:bookmarkEnd w:id="19"/>
    </w:p>
    <w:p w14:paraId="2A3AF803" w14:textId="1B251102" w:rsidR="003777D9" w:rsidRPr="00B21271" w:rsidRDefault="002C6FE9" w:rsidP="00B21271">
      <w:pPr>
        <w:tabs>
          <w:tab w:val="left" w:pos="-1440"/>
          <w:tab w:val="left" w:pos="-720"/>
        </w:tabs>
        <w:jc w:val="both"/>
        <w:rPr>
          <w:szCs w:val="22"/>
        </w:rPr>
      </w:pPr>
      <w:r>
        <w:rPr>
          <w:szCs w:val="22"/>
        </w:rPr>
        <w:t>U</w:t>
      </w:r>
      <w:r w:rsidR="003777D9" w:rsidRPr="00B21271">
        <w:rPr>
          <w:szCs w:val="22"/>
        </w:rPr>
        <w:t xml:space="preserve">zglabāt temperatūrā </w:t>
      </w:r>
      <w:r>
        <w:rPr>
          <w:szCs w:val="22"/>
        </w:rPr>
        <w:t>līdz</w:t>
      </w:r>
      <w:r w:rsidR="003777D9" w:rsidRPr="00B21271">
        <w:rPr>
          <w:szCs w:val="22"/>
        </w:rPr>
        <w:t xml:space="preserve"> 25</w:t>
      </w:r>
      <w:r w:rsidR="00C20F16" w:rsidRPr="00B21271">
        <w:rPr>
          <w:noProof/>
          <w:szCs w:val="22"/>
        </w:rPr>
        <w:sym w:font="Symbol" w:char="F0B0"/>
      </w:r>
      <w:r w:rsidR="003777D9" w:rsidRPr="00B21271">
        <w:rPr>
          <w:szCs w:val="22"/>
        </w:rPr>
        <w:t>C.</w:t>
      </w:r>
    </w:p>
    <w:p w14:paraId="334950C6" w14:textId="3B46A09D" w:rsidR="00D07222" w:rsidRPr="00B21271" w:rsidRDefault="0081159B" w:rsidP="00B21271">
      <w:pPr>
        <w:tabs>
          <w:tab w:val="left" w:pos="-1440"/>
          <w:tab w:val="left" w:pos="-720"/>
        </w:tabs>
        <w:jc w:val="both"/>
        <w:rPr>
          <w:szCs w:val="22"/>
        </w:rPr>
      </w:pPr>
      <w:bookmarkStart w:id="20" w:name="_Toc97112348"/>
      <w:r w:rsidRPr="00B21271">
        <w:rPr>
          <w:szCs w:val="22"/>
        </w:rPr>
        <w:t>Jebkuras neizlietotās tablešu daļas ievieto</w:t>
      </w:r>
      <w:r w:rsidR="002C6FE9">
        <w:rPr>
          <w:szCs w:val="22"/>
        </w:rPr>
        <w:t>t</w:t>
      </w:r>
      <w:r w:rsidRPr="00B21271">
        <w:rPr>
          <w:szCs w:val="22"/>
        </w:rPr>
        <w:t xml:space="preserve"> atpakaļ atvērtajā blistera iepakojumā un izlieto</w:t>
      </w:r>
      <w:r w:rsidR="002C6FE9">
        <w:rPr>
          <w:szCs w:val="22"/>
        </w:rPr>
        <w:t>t</w:t>
      </w:r>
      <w:r w:rsidRPr="00B21271">
        <w:rPr>
          <w:szCs w:val="22"/>
        </w:rPr>
        <w:t xml:space="preserve"> 4 dienu laikā.</w:t>
      </w:r>
    </w:p>
    <w:p w14:paraId="1EAC92EC" w14:textId="77777777" w:rsidR="003777D9" w:rsidRPr="00B21271" w:rsidRDefault="003777D9" w:rsidP="00B21271">
      <w:pPr>
        <w:pStyle w:val="Heading2"/>
        <w:jc w:val="both"/>
        <w:rPr>
          <w:szCs w:val="22"/>
        </w:rPr>
      </w:pPr>
      <w:r w:rsidRPr="00B21271">
        <w:rPr>
          <w:szCs w:val="22"/>
        </w:rPr>
        <w:t>6.5</w:t>
      </w:r>
      <w:r w:rsidRPr="00C12BB9">
        <w:rPr>
          <w:szCs w:val="22"/>
        </w:rPr>
        <w:tab/>
      </w:r>
      <w:r w:rsidRPr="00B21271">
        <w:rPr>
          <w:szCs w:val="22"/>
        </w:rPr>
        <w:t xml:space="preserve">Tiešā iepakojuma veids </w:t>
      </w:r>
      <w:bookmarkEnd w:id="20"/>
      <w:r w:rsidRPr="00B21271">
        <w:rPr>
          <w:szCs w:val="22"/>
        </w:rPr>
        <w:t>un saturs</w:t>
      </w:r>
    </w:p>
    <w:p w14:paraId="5D8D3D27" w14:textId="6FA35817" w:rsidR="00A41D19" w:rsidRPr="00B21271" w:rsidRDefault="00A41D19" w:rsidP="00B21271">
      <w:pPr>
        <w:pStyle w:val="Alinea"/>
        <w:rPr>
          <w:szCs w:val="22"/>
        </w:rPr>
      </w:pPr>
      <w:r w:rsidRPr="00B21271">
        <w:rPr>
          <w:szCs w:val="22"/>
        </w:rPr>
        <w:t xml:space="preserve">Veterinārās zāles iepakotas blisterī </w:t>
      </w:r>
      <w:r w:rsidR="00845D34">
        <w:rPr>
          <w:szCs w:val="22"/>
        </w:rPr>
        <w:t>(</w:t>
      </w:r>
      <w:r w:rsidRPr="00B21271">
        <w:rPr>
          <w:szCs w:val="22"/>
        </w:rPr>
        <w:t>alumīnijs (20 µm) – PVC/PE/PVDC (250/30/90) balts</w:t>
      </w:r>
      <w:r w:rsidR="00845D34">
        <w:rPr>
          <w:szCs w:val="22"/>
        </w:rPr>
        <w:t>)</w:t>
      </w:r>
      <w:r w:rsidRPr="00B21271">
        <w:rPr>
          <w:szCs w:val="22"/>
        </w:rPr>
        <w:t xml:space="preserve">. </w:t>
      </w:r>
    </w:p>
    <w:p w14:paraId="749928BD" w14:textId="6E97BB79" w:rsidR="003777D9" w:rsidRPr="00B21271" w:rsidRDefault="003777D9" w:rsidP="00B21271">
      <w:pPr>
        <w:tabs>
          <w:tab w:val="left" w:pos="-1440"/>
          <w:tab w:val="left" w:pos="-720"/>
        </w:tabs>
        <w:jc w:val="both"/>
        <w:rPr>
          <w:szCs w:val="22"/>
        </w:rPr>
      </w:pPr>
      <w:r w:rsidRPr="00B21271">
        <w:rPr>
          <w:szCs w:val="22"/>
        </w:rPr>
        <w:t>Blisterī 10 tabletes</w:t>
      </w:r>
      <w:r w:rsidR="00F863E4">
        <w:rPr>
          <w:szCs w:val="22"/>
        </w:rPr>
        <w:t>,</w:t>
      </w:r>
      <w:r w:rsidRPr="00B21271">
        <w:rPr>
          <w:szCs w:val="22"/>
        </w:rPr>
        <w:t xml:space="preserve"> kartona kastītē 5 vai 25 blisteri</w:t>
      </w:r>
      <w:r w:rsidR="00F863E4">
        <w:rPr>
          <w:szCs w:val="22"/>
        </w:rPr>
        <w:t>,</w:t>
      </w:r>
      <w:r w:rsidRPr="00B21271">
        <w:rPr>
          <w:szCs w:val="22"/>
        </w:rPr>
        <w:t xml:space="preserve"> kartona kastītē 50 vai 250 tabletes.</w:t>
      </w:r>
    </w:p>
    <w:p w14:paraId="32BCDF82" w14:textId="77777777" w:rsidR="003777D9" w:rsidRPr="00B21271" w:rsidRDefault="003777D9" w:rsidP="00B21271">
      <w:pPr>
        <w:tabs>
          <w:tab w:val="left" w:pos="-1440"/>
          <w:tab w:val="left" w:pos="-720"/>
        </w:tabs>
        <w:jc w:val="both"/>
        <w:rPr>
          <w:szCs w:val="22"/>
        </w:rPr>
      </w:pPr>
      <w:r w:rsidRPr="00B21271">
        <w:rPr>
          <w:szCs w:val="22"/>
        </w:rPr>
        <w:t xml:space="preserve">Ne visi iepakojuma izmēri var tikt izplatīti. </w:t>
      </w:r>
    </w:p>
    <w:p w14:paraId="12D75A04" w14:textId="77777777" w:rsidR="003777D9" w:rsidRPr="00B21271" w:rsidRDefault="003777D9" w:rsidP="00B21271">
      <w:pPr>
        <w:pStyle w:val="Heading2"/>
        <w:jc w:val="both"/>
        <w:rPr>
          <w:szCs w:val="22"/>
        </w:rPr>
      </w:pPr>
      <w:bookmarkStart w:id="21" w:name="_Toc97112349"/>
      <w:r w:rsidRPr="00B21271">
        <w:rPr>
          <w:szCs w:val="22"/>
        </w:rPr>
        <w:lastRenderedPageBreak/>
        <w:t>6.6</w:t>
      </w:r>
      <w:r w:rsidRPr="00C12BB9">
        <w:rPr>
          <w:szCs w:val="22"/>
        </w:rPr>
        <w:tab/>
      </w:r>
      <w:r w:rsidRPr="00B21271">
        <w:rPr>
          <w:szCs w:val="22"/>
        </w:rPr>
        <w:t>Īpaši norādījumi neizlietotu veterināro zāļu vai to atkritumu iznīcināšanai</w:t>
      </w:r>
      <w:bookmarkEnd w:id="21"/>
    </w:p>
    <w:p w14:paraId="6AA5127C" w14:textId="6A03DC5D" w:rsidR="003777D9" w:rsidRDefault="003777D9" w:rsidP="00C12BB9">
      <w:pPr>
        <w:tabs>
          <w:tab w:val="left" w:pos="-1440"/>
          <w:tab w:val="left" w:pos="-720"/>
        </w:tabs>
        <w:jc w:val="both"/>
        <w:rPr>
          <w:szCs w:val="22"/>
        </w:rPr>
      </w:pPr>
      <w:r w:rsidRPr="00B21271">
        <w:rPr>
          <w:szCs w:val="22"/>
        </w:rPr>
        <w:t xml:space="preserve">Jebkuras neizlietotas veterinārās zāles vai to atkritumi jāiznīcina saskaņā ar nacionālajiem tiesību aktiem. </w:t>
      </w:r>
    </w:p>
    <w:p w14:paraId="3129D4A5" w14:textId="77777777" w:rsidR="00BE5DDC" w:rsidRPr="00B21271" w:rsidRDefault="00BE5DDC" w:rsidP="00B21271">
      <w:pPr>
        <w:tabs>
          <w:tab w:val="left" w:pos="-1440"/>
          <w:tab w:val="left" w:pos="-720"/>
        </w:tabs>
        <w:jc w:val="both"/>
        <w:rPr>
          <w:szCs w:val="22"/>
        </w:rPr>
      </w:pPr>
    </w:p>
    <w:p w14:paraId="59C30061" w14:textId="77777777" w:rsidR="003777D9" w:rsidRPr="00B21271" w:rsidRDefault="003777D9" w:rsidP="00B21271">
      <w:pPr>
        <w:pStyle w:val="Heading1"/>
        <w:jc w:val="both"/>
        <w:rPr>
          <w:sz w:val="22"/>
          <w:szCs w:val="22"/>
        </w:rPr>
      </w:pPr>
      <w:bookmarkStart w:id="22" w:name="_Toc97112350"/>
      <w:r w:rsidRPr="00B21271">
        <w:rPr>
          <w:sz w:val="22"/>
          <w:szCs w:val="22"/>
        </w:rPr>
        <w:t>7.</w:t>
      </w:r>
      <w:r w:rsidRPr="00B21271">
        <w:rPr>
          <w:sz w:val="22"/>
          <w:szCs w:val="22"/>
        </w:rPr>
        <w:tab/>
        <w:t>REĢISTRĀCIJAS APLIECĪBAS ĪPAŠNIEKS</w:t>
      </w:r>
      <w:bookmarkEnd w:id="22"/>
    </w:p>
    <w:p w14:paraId="28F26135" w14:textId="77777777" w:rsidR="003777D9" w:rsidRPr="00B21271" w:rsidRDefault="003777D9" w:rsidP="00B21271">
      <w:pPr>
        <w:tabs>
          <w:tab w:val="left" w:pos="-1440"/>
          <w:tab w:val="left" w:pos="-720"/>
          <w:tab w:val="left" w:pos="0"/>
        </w:tabs>
        <w:jc w:val="both"/>
        <w:rPr>
          <w:szCs w:val="22"/>
        </w:rPr>
      </w:pPr>
      <w:r w:rsidRPr="00B21271">
        <w:rPr>
          <w:szCs w:val="22"/>
        </w:rPr>
        <w:t>Eurovet Animal Health B.V.</w:t>
      </w:r>
    </w:p>
    <w:p w14:paraId="7587EB2B" w14:textId="77777777" w:rsidR="003E7AEE" w:rsidRPr="00B21271" w:rsidRDefault="003777D9" w:rsidP="00B21271">
      <w:pPr>
        <w:tabs>
          <w:tab w:val="left" w:pos="-1440"/>
          <w:tab w:val="left" w:pos="-720"/>
          <w:tab w:val="left" w:pos="0"/>
        </w:tabs>
        <w:jc w:val="both"/>
        <w:rPr>
          <w:szCs w:val="22"/>
        </w:rPr>
      </w:pPr>
      <w:r w:rsidRPr="00B21271">
        <w:rPr>
          <w:szCs w:val="22"/>
        </w:rPr>
        <w:t xml:space="preserve">Handelsweg 25, </w:t>
      </w:r>
    </w:p>
    <w:p w14:paraId="7A55C44F" w14:textId="77777777" w:rsidR="003777D9" w:rsidRPr="00B21271" w:rsidRDefault="003777D9" w:rsidP="00B21271">
      <w:pPr>
        <w:tabs>
          <w:tab w:val="left" w:pos="-1440"/>
          <w:tab w:val="left" w:pos="-720"/>
          <w:tab w:val="left" w:pos="0"/>
        </w:tabs>
        <w:jc w:val="both"/>
        <w:rPr>
          <w:szCs w:val="22"/>
        </w:rPr>
      </w:pPr>
      <w:r w:rsidRPr="00B21271">
        <w:rPr>
          <w:szCs w:val="22"/>
        </w:rPr>
        <w:t>5531 AE Bladel</w:t>
      </w:r>
    </w:p>
    <w:p w14:paraId="4758F5EC" w14:textId="01E0191A" w:rsidR="003777D9" w:rsidRDefault="003777D9" w:rsidP="00C12BB9">
      <w:pPr>
        <w:tabs>
          <w:tab w:val="left" w:pos="-1440"/>
          <w:tab w:val="left" w:pos="-720"/>
        </w:tabs>
        <w:jc w:val="both"/>
        <w:rPr>
          <w:szCs w:val="22"/>
        </w:rPr>
      </w:pPr>
      <w:r w:rsidRPr="00B21271">
        <w:rPr>
          <w:szCs w:val="22"/>
        </w:rPr>
        <w:t>Nīderlande</w:t>
      </w:r>
    </w:p>
    <w:p w14:paraId="0D2FAF33" w14:textId="77777777" w:rsidR="00F863E4" w:rsidRPr="00B21271" w:rsidRDefault="00F863E4" w:rsidP="00B21271">
      <w:pPr>
        <w:tabs>
          <w:tab w:val="left" w:pos="-1440"/>
          <w:tab w:val="left" w:pos="-720"/>
        </w:tabs>
        <w:jc w:val="both"/>
        <w:rPr>
          <w:szCs w:val="22"/>
        </w:rPr>
      </w:pPr>
    </w:p>
    <w:p w14:paraId="3ADF35E0" w14:textId="77777777" w:rsidR="003777D9" w:rsidRPr="00B21271" w:rsidRDefault="003777D9" w:rsidP="00B21271">
      <w:pPr>
        <w:pStyle w:val="Heading1"/>
        <w:jc w:val="both"/>
        <w:rPr>
          <w:sz w:val="22"/>
          <w:szCs w:val="22"/>
        </w:rPr>
      </w:pPr>
      <w:r w:rsidRPr="00B21271">
        <w:rPr>
          <w:sz w:val="22"/>
          <w:szCs w:val="22"/>
        </w:rPr>
        <w:t>8.</w:t>
      </w:r>
      <w:r w:rsidRPr="00B21271">
        <w:rPr>
          <w:sz w:val="22"/>
          <w:szCs w:val="22"/>
        </w:rPr>
        <w:tab/>
        <w:t>REĢISTRĀCIJAS APLIECĪBAS NUMURS</w:t>
      </w:r>
    </w:p>
    <w:p w14:paraId="2022B5BB" w14:textId="32218017" w:rsidR="003777D9" w:rsidRPr="00B21271" w:rsidRDefault="003777D9" w:rsidP="00B21271">
      <w:pPr>
        <w:tabs>
          <w:tab w:val="left" w:pos="-1440"/>
          <w:tab w:val="left" w:pos="-720"/>
        </w:tabs>
        <w:jc w:val="both"/>
        <w:rPr>
          <w:szCs w:val="22"/>
        </w:rPr>
      </w:pPr>
    </w:p>
    <w:p w14:paraId="6EA29B3A" w14:textId="4907C22F" w:rsidR="003B6DAB" w:rsidRPr="00B21271" w:rsidRDefault="00B21271" w:rsidP="00B21271">
      <w:pPr>
        <w:tabs>
          <w:tab w:val="left" w:pos="-1440"/>
          <w:tab w:val="left" w:pos="-720"/>
        </w:tabs>
        <w:jc w:val="both"/>
        <w:rPr>
          <w:szCs w:val="22"/>
        </w:rPr>
      </w:pPr>
      <w:r w:rsidRPr="00B21271">
        <w:rPr>
          <w:szCs w:val="22"/>
        </w:rPr>
        <w:t>V/MRP/18/00</w:t>
      </w:r>
      <w:r w:rsidR="009630F9">
        <w:rPr>
          <w:szCs w:val="22"/>
        </w:rPr>
        <w:t>52</w:t>
      </w:r>
    </w:p>
    <w:p w14:paraId="6F29E72B" w14:textId="77777777" w:rsidR="003777D9" w:rsidRPr="00B21271" w:rsidRDefault="003777D9" w:rsidP="00B21271">
      <w:pPr>
        <w:pStyle w:val="Heading1"/>
        <w:jc w:val="both"/>
        <w:rPr>
          <w:sz w:val="22"/>
          <w:szCs w:val="22"/>
        </w:rPr>
      </w:pPr>
      <w:r w:rsidRPr="00B21271">
        <w:rPr>
          <w:sz w:val="22"/>
          <w:szCs w:val="22"/>
        </w:rPr>
        <w:t>9.</w:t>
      </w:r>
      <w:r w:rsidRPr="00B21271">
        <w:rPr>
          <w:sz w:val="22"/>
          <w:szCs w:val="22"/>
        </w:rPr>
        <w:tab/>
        <w:t>REĢISTRĀCIJAS /PĀRREĢISTRĀCIJAS DATUMS</w:t>
      </w:r>
    </w:p>
    <w:p w14:paraId="35965A6D" w14:textId="4A3BD1F7" w:rsidR="003777D9" w:rsidRDefault="003777D9" w:rsidP="00C12BB9">
      <w:pPr>
        <w:jc w:val="both"/>
        <w:rPr>
          <w:i/>
          <w:szCs w:val="22"/>
        </w:rPr>
      </w:pPr>
    </w:p>
    <w:p w14:paraId="49A61C41" w14:textId="346ACA7E" w:rsidR="00BE5DDC" w:rsidRDefault="00B21271" w:rsidP="00B21271">
      <w:pPr>
        <w:jc w:val="both"/>
        <w:rPr>
          <w:szCs w:val="22"/>
        </w:rPr>
      </w:pPr>
      <w:r w:rsidRPr="00B21271">
        <w:rPr>
          <w:szCs w:val="22"/>
        </w:rPr>
        <w:t>Pirmās reģistrācijas datums: 02</w:t>
      </w:r>
      <w:r w:rsidR="00E4216F">
        <w:rPr>
          <w:szCs w:val="22"/>
        </w:rPr>
        <w:t>/</w:t>
      </w:r>
      <w:r w:rsidRPr="00B21271">
        <w:rPr>
          <w:szCs w:val="22"/>
        </w:rPr>
        <w:t>10</w:t>
      </w:r>
      <w:r w:rsidR="00E4216F">
        <w:rPr>
          <w:szCs w:val="22"/>
        </w:rPr>
        <w:t>/</w:t>
      </w:r>
      <w:r w:rsidRPr="00B21271">
        <w:rPr>
          <w:szCs w:val="22"/>
        </w:rPr>
        <w:t>2018</w:t>
      </w:r>
    </w:p>
    <w:p w14:paraId="13A0F410" w14:textId="77777777" w:rsidR="00B21271" w:rsidRPr="00B21271" w:rsidRDefault="00B21271" w:rsidP="00B21271">
      <w:pPr>
        <w:jc w:val="both"/>
        <w:rPr>
          <w:szCs w:val="22"/>
        </w:rPr>
      </w:pPr>
    </w:p>
    <w:p w14:paraId="6417E089" w14:textId="77777777" w:rsidR="003777D9" w:rsidRPr="00B21271" w:rsidRDefault="003777D9" w:rsidP="00B21271">
      <w:pPr>
        <w:pStyle w:val="Heading1"/>
        <w:jc w:val="both"/>
        <w:rPr>
          <w:sz w:val="22"/>
          <w:szCs w:val="22"/>
        </w:rPr>
      </w:pPr>
      <w:r w:rsidRPr="00B21271">
        <w:rPr>
          <w:sz w:val="22"/>
          <w:szCs w:val="22"/>
        </w:rPr>
        <w:t>10.</w:t>
      </w:r>
      <w:r w:rsidRPr="00B21271">
        <w:rPr>
          <w:sz w:val="22"/>
          <w:szCs w:val="22"/>
        </w:rPr>
        <w:tab/>
        <w:t>TEKSTA PĒDĒJĀS PĀRSKATĪŠANAS DATUMS</w:t>
      </w:r>
    </w:p>
    <w:p w14:paraId="4416962F" w14:textId="77777777" w:rsidR="00B21271" w:rsidRDefault="00B21271" w:rsidP="00B21271">
      <w:pPr>
        <w:tabs>
          <w:tab w:val="left" w:pos="-1440"/>
          <w:tab w:val="left" w:pos="-720"/>
        </w:tabs>
        <w:jc w:val="both"/>
        <w:rPr>
          <w:szCs w:val="22"/>
        </w:rPr>
      </w:pPr>
    </w:p>
    <w:p w14:paraId="030DD8EA" w14:textId="0CC72AB9" w:rsidR="003777D9" w:rsidRPr="00B21271" w:rsidRDefault="00E4216F" w:rsidP="00B21271">
      <w:pPr>
        <w:tabs>
          <w:tab w:val="left" w:pos="-1440"/>
          <w:tab w:val="left" w:pos="-720"/>
        </w:tabs>
        <w:jc w:val="both"/>
        <w:rPr>
          <w:szCs w:val="22"/>
        </w:rPr>
      </w:pPr>
      <w:r>
        <w:t>1</w:t>
      </w:r>
      <w:r w:rsidR="00144960">
        <w:t>1</w:t>
      </w:r>
      <w:r>
        <w:t>/2020</w:t>
      </w:r>
    </w:p>
    <w:p w14:paraId="45474720" w14:textId="318C51AE" w:rsidR="004C0A23" w:rsidRDefault="004C0A23" w:rsidP="00B21271">
      <w:pPr>
        <w:tabs>
          <w:tab w:val="left" w:pos="-1440"/>
          <w:tab w:val="left" w:pos="-720"/>
        </w:tabs>
        <w:jc w:val="both"/>
        <w:rPr>
          <w:szCs w:val="22"/>
        </w:rPr>
      </w:pPr>
    </w:p>
    <w:p w14:paraId="6F265A6C" w14:textId="77777777" w:rsidR="00B21271" w:rsidRPr="00B21271" w:rsidRDefault="00B21271" w:rsidP="00B21271">
      <w:pPr>
        <w:tabs>
          <w:tab w:val="left" w:pos="-1440"/>
          <w:tab w:val="left" w:pos="-720"/>
        </w:tabs>
        <w:jc w:val="both"/>
        <w:rPr>
          <w:szCs w:val="22"/>
        </w:rPr>
      </w:pPr>
    </w:p>
    <w:p w14:paraId="7149BC20" w14:textId="4304A3B6" w:rsidR="00F863E4" w:rsidRPr="00172307" w:rsidRDefault="00F863E4" w:rsidP="00B21271">
      <w:pPr>
        <w:jc w:val="both"/>
        <w:rPr>
          <w:color w:val="000000"/>
        </w:rPr>
      </w:pPr>
      <w:bookmarkStart w:id="23" w:name="_Hlk506557361"/>
      <w:r w:rsidRPr="00172307">
        <w:rPr>
          <w:b/>
          <w:color w:val="000000"/>
        </w:rPr>
        <w:t>RAŽOŠANAS, IEVEŠANAS, IZPLATĪŠANAS, TIRDZNIECĪBAS, PIEGĀDES UN/VAI LIETOŠANAS AIZLIEGUMS</w:t>
      </w:r>
    </w:p>
    <w:bookmarkEnd w:id="23"/>
    <w:p w14:paraId="5A80605B" w14:textId="77777777" w:rsidR="00A7220C" w:rsidRPr="00B21271" w:rsidRDefault="00A7220C" w:rsidP="00B21271">
      <w:pPr>
        <w:jc w:val="both"/>
        <w:rPr>
          <w:szCs w:val="22"/>
        </w:rPr>
      </w:pPr>
    </w:p>
    <w:p w14:paraId="09FD69B7" w14:textId="5C6D81D1" w:rsidR="00A10EC3" w:rsidRPr="00B21271" w:rsidRDefault="0037489D">
      <w:pPr>
        <w:pStyle w:val="Alinea"/>
        <w:widowControl w:val="0"/>
        <w:tabs>
          <w:tab w:val="left" w:pos="-1440"/>
          <w:tab w:val="left" w:pos="-720"/>
        </w:tabs>
        <w:suppressAutoHyphens/>
        <w:rPr>
          <w:spacing w:val="0"/>
          <w:szCs w:val="22"/>
        </w:rPr>
      </w:pPr>
      <w:r>
        <w:rPr>
          <w:szCs w:val="22"/>
        </w:rPr>
        <w:t>Recepšu veterinārās zāles.</w:t>
      </w:r>
    </w:p>
    <w:sectPr w:rsidR="00A10EC3" w:rsidRPr="00B21271" w:rsidSect="00B21271">
      <w:headerReference w:type="default" r:id="rId10"/>
      <w:footerReference w:type="default" r:id="rId11"/>
      <w:pgSz w:w="11906" w:h="16838"/>
      <w:pgMar w:top="1134" w:right="1418" w:bottom="1134" w:left="1418" w:header="737" w:footer="737" w:gutter="0"/>
      <w:pgNumType w:start="1"/>
      <w:cols w:space="708"/>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162F7CC" w14:textId="77777777" w:rsidR="007607B7" w:rsidRDefault="007607B7">
      <w:r>
        <w:separator/>
      </w:r>
    </w:p>
  </w:endnote>
  <w:endnote w:type="continuationSeparator" w:id="0">
    <w:p w14:paraId="550E98D7" w14:textId="77777777" w:rsidR="007607B7" w:rsidRDefault="007607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08235435"/>
      <w:docPartObj>
        <w:docPartGallery w:val="Page Numbers (Bottom of Page)"/>
        <w:docPartUnique/>
      </w:docPartObj>
    </w:sdtPr>
    <w:sdtEndPr>
      <w:rPr>
        <w:noProof/>
        <w:sz w:val="20"/>
      </w:rPr>
    </w:sdtEndPr>
    <w:sdtContent>
      <w:p w14:paraId="77022B09" w14:textId="6E92069D" w:rsidR="00E75F1A" w:rsidRPr="002D28C1" w:rsidRDefault="00E75F1A">
        <w:pPr>
          <w:pStyle w:val="Footer"/>
          <w:jc w:val="center"/>
          <w:rPr>
            <w:sz w:val="20"/>
          </w:rPr>
        </w:pPr>
        <w:r w:rsidRPr="002D28C1">
          <w:rPr>
            <w:sz w:val="20"/>
          </w:rPr>
          <w:fldChar w:fldCharType="begin"/>
        </w:r>
        <w:r w:rsidRPr="002D28C1">
          <w:rPr>
            <w:sz w:val="20"/>
          </w:rPr>
          <w:instrText xml:space="preserve"> PAGE   \* MERGEFORMAT </w:instrText>
        </w:r>
        <w:r w:rsidRPr="002D28C1">
          <w:rPr>
            <w:sz w:val="20"/>
          </w:rPr>
          <w:fldChar w:fldCharType="separate"/>
        </w:r>
        <w:r w:rsidR="002D28C1">
          <w:rPr>
            <w:noProof/>
            <w:sz w:val="20"/>
          </w:rPr>
          <w:t>5</w:t>
        </w:r>
        <w:r w:rsidRPr="002D28C1">
          <w:rPr>
            <w:noProof/>
            <w:sz w:val="20"/>
          </w:rPr>
          <w:fldChar w:fldCharType="end"/>
        </w:r>
      </w:p>
    </w:sdtContent>
  </w:sdt>
  <w:p w14:paraId="7910D0F7" w14:textId="77777777" w:rsidR="000D4BCE" w:rsidRDefault="000D4BCE">
    <w:pPr>
      <w:pStyle w:val="Footer"/>
      <w:ind w:right="360"/>
      <w:rPr>
        <w:i/>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A4305E4" w14:textId="77777777" w:rsidR="007607B7" w:rsidRDefault="007607B7">
      <w:r>
        <w:separator/>
      </w:r>
    </w:p>
  </w:footnote>
  <w:footnote w:type="continuationSeparator" w:id="0">
    <w:p w14:paraId="57E9AC66" w14:textId="77777777" w:rsidR="007607B7" w:rsidRDefault="007607B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D28F9E" w14:textId="77777777" w:rsidR="000D4BCE" w:rsidRDefault="000D4BCE"/>
  <w:p w14:paraId="19493D48" w14:textId="72ECDD80" w:rsidR="000D4BCE" w:rsidRDefault="000D4BCE" w:rsidP="00B21271">
    <w:pPr>
      <w:rPr>
        <w:sz w:val="1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FE"/>
    <w:multiLevelType w:val="singleLevel"/>
    <w:tmpl w:val="FFFFFFFF"/>
    <w:lvl w:ilvl="0">
      <w:numFmt w:val="decimal"/>
      <w:lvlText w:val="*"/>
      <w:lvlJc w:val="left"/>
    </w:lvl>
  </w:abstractNum>
  <w:num w:numId="1">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2">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3">
    <w:abstractNumId w:val="0"/>
    <w:lvlOverride w:ilvl="0">
      <w:lvl w:ilvl="0">
        <w:start w:val="1"/>
        <w:numFmt w:val="bullet"/>
        <w:lvlText w:val=""/>
        <w:legacy w:legacy="1" w:legacySpace="0" w:legacyIndent="283"/>
        <w:lvlJc w:val="left"/>
        <w:pPr>
          <w:ind w:left="567" w:hanging="283"/>
        </w:pPr>
        <w:rPr>
          <w:rFonts w:ascii="Symbol" w:hAnsi="Symbol"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4162"/>
    <w:rsid w:val="00007CCB"/>
    <w:rsid w:val="000313CE"/>
    <w:rsid w:val="00035F9C"/>
    <w:rsid w:val="00041F5D"/>
    <w:rsid w:val="00060467"/>
    <w:rsid w:val="000646DC"/>
    <w:rsid w:val="00070BD0"/>
    <w:rsid w:val="0007104E"/>
    <w:rsid w:val="00072394"/>
    <w:rsid w:val="00095EEB"/>
    <w:rsid w:val="000A0A32"/>
    <w:rsid w:val="000A3A23"/>
    <w:rsid w:val="000C649A"/>
    <w:rsid w:val="000D4BCE"/>
    <w:rsid w:val="000D7050"/>
    <w:rsid w:val="000E60DB"/>
    <w:rsid w:val="000F5D6E"/>
    <w:rsid w:val="00100F46"/>
    <w:rsid w:val="001030B7"/>
    <w:rsid w:val="00105984"/>
    <w:rsid w:val="001151E8"/>
    <w:rsid w:val="0012246B"/>
    <w:rsid w:val="00137910"/>
    <w:rsid w:val="00143788"/>
    <w:rsid w:val="00144960"/>
    <w:rsid w:val="00147A69"/>
    <w:rsid w:val="00153100"/>
    <w:rsid w:val="0015378F"/>
    <w:rsid w:val="001673A4"/>
    <w:rsid w:val="00176D27"/>
    <w:rsid w:val="00183CF2"/>
    <w:rsid w:val="001859E7"/>
    <w:rsid w:val="001971D8"/>
    <w:rsid w:val="001A420D"/>
    <w:rsid w:val="001A7923"/>
    <w:rsid w:val="001A7F7F"/>
    <w:rsid w:val="001B06E1"/>
    <w:rsid w:val="001B3A7A"/>
    <w:rsid w:val="001D002A"/>
    <w:rsid w:val="001F7DB3"/>
    <w:rsid w:val="00200ACD"/>
    <w:rsid w:val="0020150B"/>
    <w:rsid w:val="00201D0F"/>
    <w:rsid w:val="00202C24"/>
    <w:rsid w:val="00205A15"/>
    <w:rsid w:val="00205F99"/>
    <w:rsid w:val="002127E0"/>
    <w:rsid w:val="00220540"/>
    <w:rsid w:val="00223B80"/>
    <w:rsid w:val="00225F91"/>
    <w:rsid w:val="0024317C"/>
    <w:rsid w:val="00243357"/>
    <w:rsid w:val="0024346F"/>
    <w:rsid w:val="00272193"/>
    <w:rsid w:val="00281FE9"/>
    <w:rsid w:val="00284D54"/>
    <w:rsid w:val="00287EF6"/>
    <w:rsid w:val="00292727"/>
    <w:rsid w:val="00294786"/>
    <w:rsid w:val="00296B08"/>
    <w:rsid w:val="002B0F6D"/>
    <w:rsid w:val="002B3B68"/>
    <w:rsid w:val="002B654E"/>
    <w:rsid w:val="002C23B2"/>
    <w:rsid w:val="002C6FE9"/>
    <w:rsid w:val="002C7340"/>
    <w:rsid w:val="002D28C1"/>
    <w:rsid w:val="002D6086"/>
    <w:rsid w:val="002E772F"/>
    <w:rsid w:val="002F1DDB"/>
    <w:rsid w:val="00307064"/>
    <w:rsid w:val="00307861"/>
    <w:rsid w:val="00315B33"/>
    <w:rsid w:val="0032452F"/>
    <w:rsid w:val="00324947"/>
    <w:rsid w:val="003269DA"/>
    <w:rsid w:val="00327FCB"/>
    <w:rsid w:val="00330362"/>
    <w:rsid w:val="003328FB"/>
    <w:rsid w:val="003378A3"/>
    <w:rsid w:val="003502DD"/>
    <w:rsid w:val="003520DC"/>
    <w:rsid w:val="00353974"/>
    <w:rsid w:val="00353FC6"/>
    <w:rsid w:val="00366529"/>
    <w:rsid w:val="0037489D"/>
    <w:rsid w:val="003777D9"/>
    <w:rsid w:val="00380491"/>
    <w:rsid w:val="00380904"/>
    <w:rsid w:val="003861F0"/>
    <w:rsid w:val="003A7A31"/>
    <w:rsid w:val="003B15D6"/>
    <w:rsid w:val="003B256D"/>
    <w:rsid w:val="003B6C2E"/>
    <w:rsid w:val="003B6DAB"/>
    <w:rsid w:val="003B7461"/>
    <w:rsid w:val="003C6374"/>
    <w:rsid w:val="003D5781"/>
    <w:rsid w:val="003E7AEE"/>
    <w:rsid w:val="00400780"/>
    <w:rsid w:val="00405179"/>
    <w:rsid w:val="00416542"/>
    <w:rsid w:val="00432479"/>
    <w:rsid w:val="0044018A"/>
    <w:rsid w:val="00450195"/>
    <w:rsid w:val="00453515"/>
    <w:rsid w:val="00461D84"/>
    <w:rsid w:val="00465321"/>
    <w:rsid w:val="00473B93"/>
    <w:rsid w:val="004946D2"/>
    <w:rsid w:val="004A6E1E"/>
    <w:rsid w:val="004A7738"/>
    <w:rsid w:val="004B535A"/>
    <w:rsid w:val="004C0A23"/>
    <w:rsid w:val="004C47AB"/>
    <w:rsid w:val="004D58C4"/>
    <w:rsid w:val="004E0947"/>
    <w:rsid w:val="004E4B77"/>
    <w:rsid w:val="004E6AC1"/>
    <w:rsid w:val="004F7FD0"/>
    <w:rsid w:val="005161A1"/>
    <w:rsid w:val="00530D12"/>
    <w:rsid w:val="005339A6"/>
    <w:rsid w:val="0054044E"/>
    <w:rsid w:val="00543425"/>
    <w:rsid w:val="0054372D"/>
    <w:rsid w:val="00546116"/>
    <w:rsid w:val="0054672E"/>
    <w:rsid w:val="00546D57"/>
    <w:rsid w:val="00553660"/>
    <w:rsid w:val="005606FD"/>
    <w:rsid w:val="00566432"/>
    <w:rsid w:val="005700AE"/>
    <w:rsid w:val="00571DCA"/>
    <w:rsid w:val="0058581A"/>
    <w:rsid w:val="00586A87"/>
    <w:rsid w:val="005A0FCF"/>
    <w:rsid w:val="005B1E4A"/>
    <w:rsid w:val="005D490C"/>
    <w:rsid w:val="005E5531"/>
    <w:rsid w:val="005F3859"/>
    <w:rsid w:val="00602B78"/>
    <w:rsid w:val="006125CD"/>
    <w:rsid w:val="00612EB8"/>
    <w:rsid w:val="00617007"/>
    <w:rsid w:val="0062164E"/>
    <w:rsid w:val="006271A6"/>
    <w:rsid w:val="00634CFC"/>
    <w:rsid w:val="00654CE7"/>
    <w:rsid w:val="00656038"/>
    <w:rsid w:val="00674983"/>
    <w:rsid w:val="00676261"/>
    <w:rsid w:val="00680E32"/>
    <w:rsid w:val="00685CFA"/>
    <w:rsid w:val="00691309"/>
    <w:rsid w:val="006A52F3"/>
    <w:rsid w:val="006B07A4"/>
    <w:rsid w:val="006B25DD"/>
    <w:rsid w:val="006B36A9"/>
    <w:rsid w:val="006D0044"/>
    <w:rsid w:val="006D5E0C"/>
    <w:rsid w:val="006E2FDB"/>
    <w:rsid w:val="006F11EB"/>
    <w:rsid w:val="007107F9"/>
    <w:rsid w:val="00711C9A"/>
    <w:rsid w:val="0071356A"/>
    <w:rsid w:val="007178B1"/>
    <w:rsid w:val="007208AD"/>
    <w:rsid w:val="00726018"/>
    <w:rsid w:val="00727221"/>
    <w:rsid w:val="00727FA8"/>
    <w:rsid w:val="00732704"/>
    <w:rsid w:val="00734162"/>
    <w:rsid w:val="00751ECF"/>
    <w:rsid w:val="00752BB7"/>
    <w:rsid w:val="00757878"/>
    <w:rsid w:val="007607B7"/>
    <w:rsid w:val="00760DE8"/>
    <w:rsid w:val="00761B9F"/>
    <w:rsid w:val="00763554"/>
    <w:rsid w:val="00767448"/>
    <w:rsid w:val="00775FD0"/>
    <w:rsid w:val="0078069D"/>
    <w:rsid w:val="007969F7"/>
    <w:rsid w:val="007A1D36"/>
    <w:rsid w:val="007A58BF"/>
    <w:rsid w:val="007A60CF"/>
    <w:rsid w:val="007C1C10"/>
    <w:rsid w:val="007C2913"/>
    <w:rsid w:val="007C2F17"/>
    <w:rsid w:val="007F020F"/>
    <w:rsid w:val="007F293D"/>
    <w:rsid w:val="007F4651"/>
    <w:rsid w:val="007F48CE"/>
    <w:rsid w:val="008035E7"/>
    <w:rsid w:val="008100B8"/>
    <w:rsid w:val="0081159B"/>
    <w:rsid w:val="0081423A"/>
    <w:rsid w:val="00814972"/>
    <w:rsid w:val="00814F61"/>
    <w:rsid w:val="00815D46"/>
    <w:rsid w:val="00823C14"/>
    <w:rsid w:val="00825F91"/>
    <w:rsid w:val="00830171"/>
    <w:rsid w:val="00834560"/>
    <w:rsid w:val="00841520"/>
    <w:rsid w:val="00845D34"/>
    <w:rsid w:val="00860528"/>
    <w:rsid w:val="00861BF1"/>
    <w:rsid w:val="0088129B"/>
    <w:rsid w:val="00886EA2"/>
    <w:rsid w:val="008966B0"/>
    <w:rsid w:val="008A210F"/>
    <w:rsid w:val="008B2E90"/>
    <w:rsid w:val="008C793B"/>
    <w:rsid w:val="008D4C49"/>
    <w:rsid w:val="008D4CBD"/>
    <w:rsid w:val="008E1AAA"/>
    <w:rsid w:val="008F263F"/>
    <w:rsid w:val="008F6EA1"/>
    <w:rsid w:val="00907D25"/>
    <w:rsid w:val="00910988"/>
    <w:rsid w:val="00914DF8"/>
    <w:rsid w:val="00915BEE"/>
    <w:rsid w:val="00920FC7"/>
    <w:rsid w:val="009250C2"/>
    <w:rsid w:val="0093168B"/>
    <w:rsid w:val="009343A9"/>
    <w:rsid w:val="00937E72"/>
    <w:rsid w:val="00945329"/>
    <w:rsid w:val="009603BA"/>
    <w:rsid w:val="009630F9"/>
    <w:rsid w:val="00963D30"/>
    <w:rsid w:val="00965CB1"/>
    <w:rsid w:val="00971DE1"/>
    <w:rsid w:val="009737AC"/>
    <w:rsid w:val="0097716F"/>
    <w:rsid w:val="00996407"/>
    <w:rsid w:val="009A3F70"/>
    <w:rsid w:val="009A512D"/>
    <w:rsid w:val="009B777C"/>
    <w:rsid w:val="009C6122"/>
    <w:rsid w:val="009D6DB2"/>
    <w:rsid w:val="009F310F"/>
    <w:rsid w:val="00A10EC3"/>
    <w:rsid w:val="00A149A0"/>
    <w:rsid w:val="00A200BB"/>
    <w:rsid w:val="00A22852"/>
    <w:rsid w:val="00A26DF1"/>
    <w:rsid w:val="00A34E9D"/>
    <w:rsid w:val="00A363C0"/>
    <w:rsid w:val="00A372DB"/>
    <w:rsid w:val="00A41D19"/>
    <w:rsid w:val="00A47795"/>
    <w:rsid w:val="00A531B3"/>
    <w:rsid w:val="00A57843"/>
    <w:rsid w:val="00A6501A"/>
    <w:rsid w:val="00A7220C"/>
    <w:rsid w:val="00A7596B"/>
    <w:rsid w:val="00A9233B"/>
    <w:rsid w:val="00A94931"/>
    <w:rsid w:val="00A9760F"/>
    <w:rsid w:val="00AB5D2E"/>
    <w:rsid w:val="00AB6179"/>
    <w:rsid w:val="00AC0FA4"/>
    <w:rsid w:val="00AC3A19"/>
    <w:rsid w:val="00AD46E0"/>
    <w:rsid w:val="00AE1410"/>
    <w:rsid w:val="00AE1E68"/>
    <w:rsid w:val="00AE43BC"/>
    <w:rsid w:val="00AF4298"/>
    <w:rsid w:val="00AF675C"/>
    <w:rsid w:val="00B00DE0"/>
    <w:rsid w:val="00B04291"/>
    <w:rsid w:val="00B06081"/>
    <w:rsid w:val="00B21271"/>
    <w:rsid w:val="00B34D35"/>
    <w:rsid w:val="00B43DEA"/>
    <w:rsid w:val="00B4647B"/>
    <w:rsid w:val="00B55209"/>
    <w:rsid w:val="00B608CA"/>
    <w:rsid w:val="00B751F0"/>
    <w:rsid w:val="00B8281C"/>
    <w:rsid w:val="00B9058F"/>
    <w:rsid w:val="00B94CBE"/>
    <w:rsid w:val="00BC048E"/>
    <w:rsid w:val="00BD3ACA"/>
    <w:rsid w:val="00BE31C4"/>
    <w:rsid w:val="00BE5DDC"/>
    <w:rsid w:val="00BF13B9"/>
    <w:rsid w:val="00C031E7"/>
    <w:rsid w:val="00C12BB9"/>
    <w:rsid w:val="00C148E4"/>
    <w:rsid w:val="00C20F16"/>
    <w:rsid w:val="00C242E6"/>
    <w:rsid w:val="00C25201"/>
    <w:rsid w:val="00C47C14"/>
    <w:rsid w:val="00C731F2"/>
    <w:rsid w:val="00C9311B"/>
    <w:rsid w:val="00C96118"/>
    <w:rsid w:val="00CA3094"/>
    <w:rsid w:val="00CB4EEA"/>
    <w:rsid w:val="00CB6338"/>
    <w:rsid w:val="00CD0673"/>
    <w:rsid w:val="00CD3463"/>
    <w:rsid w:val="00CD4E3A"/>
    <w:rsid w:val="00CD57A5"/>
    <w:rsid w:val="00CD7186"/>
    <w:rsid w:val="00CE356E"/>
    <w:rsid w:val="00CF0E21"/>
    <w:rsid w:val="00D04B81"/>
    <w:rsid w:val="00D07222"/>
    <w:rsid w:val="00D23E4F"/>
    <w:rsid w:val="00D2459D"/>
    <w:rsid w:val="00D260CF"/>
    <w:rsid w:val="00D724B6"/>
    <w:rsid w:val="00DA74DB"/>
    <w:rsid w:val="00DA7BB3"/>
    <w:rsid w:val="00DB0BC5"/>
    <w:rsid w:val="00DC4249"/>
    <w:rsid w:val="00DD71FE"/>
    <w:rsid w:val="00DF0C06"/>
    <w:rsid w:val="00E10E65"/>
    <w:rsid w:val="00E2753D"/>
    <w:rsid w:val="00E30354"/>
    <w:rsid w:val="00E406AB"/>
    <w:rsid w:val="00E41654"/>
    <w:rsid w:val="00E4216F"/>
    <w:rsid w:val="00E42DD2"/>
    <w:rsid w:val="00E46567"/>
    <w:rsid w:val="00E50100"/>
    <w:rsid w:val="00E618A2"/>
    <w:rsid w:val="00E618E9"/>
    <w:rsid w:val="00E65B46"/>
    <w:rsid w:val="00E6656A"/>
    <w:rsid w:val="00E75F1A"/>
    <w:rsid w:val="00E77160"/>
    <w:rsid w:val="00E81A1C"/>
    <w:rsid w:val="00E92612"/>
    <w:rsid w:val="00E961D1"/>
    <w:rsid w:val="00EA4A53"/>
    <w:rsid w:val="00EA555C"/>
    <w:rsid w:val="00ED6143"/>
    <w:rsid w:val="00EE044C"/>
    <w:rsid w:val="00EE2129"/>
    <w:rsid w:val="00EE5F95"/>
    <w:rsid w:val="00EE6DAC"/>
    <w:rsid w:val="00EF25B8"/>
    <w:rsid w:val="00EF40EE"/>
    <w:rsid w:val="00EF546F"/>
    <w:rsid w:val="00EF733A"/>
    <w:rsid w:val="00F0094E"/>
    <w:rsid w:val="00F023EA"/>
    <w:rsid w:val="00F10393"/>
    <w:rsid w:val="00F14BFD"/>
    <w:rsid w:val="00F15B74"/>
    <w:rsid w:val="00F1682D"/>
    <w:rsid w:val="00F265C2"/>
    <w:rsid w:val="00F36E7B"/>
    <w:rsid w:val="00F42F0C"/>
    <w:rsid w:val="00F57ECC"/>
    <w:rsid w:val="00F602AE"/>
    <w:rsid w:val="00F60F95"/>
    <w:rsid w:val="00F81029"/>
    <w:rsid w:val="00F863E4"/>
    <w:rsid w:val="00F95F74"/>
    <w:rsid w:val="00FA5F8F"/>
    <w:rsid w:val="00FA6CFA"/>
    <w:rsid w:val="00FA6E2F"/>
    <w:rsid w:val="00FC0EBF"/>
    <w:rsid w:val="00FC1A82"/>
    <w:rsid w:val="00FD6A59"/>
    <w:rsid w:val="00FE3C23"/>
    <w:rsid w:val="00FE4F88"/>
    <w:rsid w:val="00FF10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46C80F5A"/>
  <w15:docId w15:val="{C33C3D33-BA36-478B-8FBF-FCD681A31E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lv-LV" w:eastAsia="lv-LV" w:bidi="lv-LV"/>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B256D"/>
    <w:pPr>
      <w:widowControl w:val="0"/>
      <w:suppressAutoHyphens/>
    </w:pPr>
    <w:rPr>
      <w:sz w:val="22"/>
    </w:rPr>
  </w:style>
  <w:style w:type="paragraph" w:styleId="Heading1">
    <w:name w:val="heading 1"/>
    <w:basedOn w:val="Normal"/>
    <w:next w:val="Normal"/>
    <w:qFormat/>
    <w:rsid w:val="008F263F"/>
    <w:pPr>
      <w:keepNext/>
      <w:spacing w:before="240" w:after="120"/>
      <w:outlineLvl w:val="0"/>
    </w:pPr>
    <w:rPr>
      <w:b/>
      <w:caps/>
      <w:kern w:val="28"/>
      <w:sz w:val="28"/>
    </w:rPr>
  </w:style>
  <w:style w:type="paragraph" w:styleId="Heading2">
    <w:name w:val="heading 2"/>
    <w:basedOn w:val="Normal"/>
    <w:next w:val="Normal"/>
    <w:qFormat/>
    <w:rsid w:val="008F263F"/>
    <w:pPr>
      <w:keepNext/>
      <w:spacing w:before="240" w:after="120"/>
      <w:outlineLvl w:val="1"/>
    </w:pPr>
    <w:rPr>
      <w:b/>
    </w:rPr>
  </w:style>
  <w:style w:type="paragraph" w:styleId="Heading3">
    <w:name w:val="heading 3"/>
    <w:basedOn w:val="Normal"/>
    <w:next w:val="Normal"/>
    <w:qFormat/>
    <w:rsid w:val="008F263F"/>
    <w:pPr>
      <w:keepNext/>
      <w:spacing w:before="240" w:after="60"/>
      <w:outlineLvl w:val="2"/>
    </w:pPr>
    <w:rPr>
      <w:b/>
    </w:rPr>
  </w:style>
  <w:style w:type="paragraph" w:styleId="Heading4">
    <w:name w:val="heading 4"/>
    <w:basedOn w:val="Normal"/>
    <w:next w:val="Normal"/>
    <w:qFormat/>
    <w:rsid w:val="008F263F"/>
    <w:pPr>
      <w:keepNext/>
      <w:spacing w:before="240" w:after="60"/>
      <w:outlineLvl w:val="3"/>
    </w:pPr>
    <w:rPr>
      <w:b/>
    </w:rPr>
  </w:style>
  <w:style w:type="paragraph" w:styleId="Heading5">
    <w:name w:val="heading 5"/>
    <w:basedOn w:val="Normal"/>
    <w:next w:val="Normal"/>
    <w:qFormat/>
    <w:rsid w:val="00A7220C"/>
    <w:pPr>
      <w:spacing w:before="240" w:after="60"/>
      <w:outlineLvl w:val="4"/>
    </w:pPr>
    <w:rPr>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linea">
    <w:name w:val="Alinea"/>
    <w:basedOn w:val="Normal"/>
    <w:rsid w:val="008F263F"/>
    <w:pPr>
      <w:widowControl/>
      <w:suppressAutoHyphens w:val="0"/>
      <w:jc w:val="both"/>
    </w:pPr>
    <w:rPr>
      <w:spacing w:val="-3"/>
    </w:rPr>
  </w:style>
  <w:style w:type="paragraph" w:styleId="Caption">
    <w:name w:val="caption"/>
    <w:basedOn w:val="Normal"/>
    <w:next w:val="Normal"/>
    <w:qFormat/>
    <w:rsid w:val="008F263F"/>
    <w:pPr>
      <w:spacing w:before="120" w:after="120"/>
    </w:pPr>
    <w:rPr>
      <w:b/>
    </w:rPr>
  </w:style>
  <w:style w:type="paragraph" w:styleId="Header">
    <w:name w:val="header"/>
    <w:basedOn w:val="Normal"/>
    <w:rsid w:val="008F263F"/>
    <w:pPr>
      <w:tabs>
        <w:tab w:val="center" w:pos="4703"/>
        <w:tab w:val="right" w:pos="9406"/>
      </w:tabs>
    </w:pPr>
  </w:style>
  <w:style w:type="paragraph" w:styleId="Footer">
    <w:name w:val="footer"/>
    <w:basedOn w:val="Normal"/>
    <w:link w:val="FooterChar"/>
    <w:uiPriority w:val="99"/>
    <w:rsid w:val="008F263F"/>
    <w:pPr>
      <w:tabs>
        <w:tab w:val="center" w:pos="4703"/>
        <w:tab w:val="right" w:pos="9406"/>
      </w:tabs>
    </w:pPr>
  </w:style>
  <w:style w:type="paragraph" w:styleId="TOC1">
    <w:name w:val="toc 1"/>
    <w:basedOn w:val="Normal"/>
    <w:next w:val="Normal"/>
    <w:semiHidden/>
    <w:rsid w:val="008F263F"/>
    <w:pPr>
      <w:tabs>
        <w:tab w:val="right" w:leader="dot" w:pos="9314"/>
      </w:tabs>
    </w:pPr>
  </w:style>
  <w:style w:type="paragraph" w:styleId="TOC2">
    <w:name w:val="toc 2"/>
    <w:basedOn w:val="Normal"/>
    <w:next w:val="Normal"/>
    <w:semiHidden/>
    <w:rsid w:val="008F263F"/>
    <w:pPr>
      <w:tabs>
        <w:tab w:val="left" w:pos="993"/>
        <w:tab w:val="right" w:leader="dot" w:pos="9314"/>
      </w:tabs>
      <w:ind w:left="240"/>
    </w:pPr>
    <w:rPr>
      <w:noProof/>
    </w:rPr>
  </w:style>
  <w:style w:type="paragraph" w:styleId="TOC3">
    <w:name w:val="toc 3"/>
    <w:basedOn w:val="Normal"/>
    <w:next w:val="Normal"/>
    <w:semiHidden/>
    <w:rsid w:val="008F263F"/>
    <w:pPr>
      <w:tabs>
        <w:tab w:val="right" w:leader="dot" w:pos="9314"/>
      </w:tabs>
      <w:ind w:left="480"/>
    </w:pPr>
  </w:style>
  <w:style w:type="paragraph" w:styleId="TOC4">
    <w:name w:val="toc 4"/>
    <w:basedOn w:val="Normal"/>
    <w:next w:val="Normal"/>
    <w:semiHidden/>
    <w:rsid w:val="008F263F"/>
    <w:pPr>
      <w:tabs>
        <w:tab w:val="right" w:leader="dot" w:pos="9314"/>
      </w:tabs>
      <w:ind w:left="720"/>
    </w:pPr>
  </w:style>
  <w:style w:type="paragraph" w:styleId="TOC5">
    <w:name w:val="toc 5"/>
    <w:basedOn w:val="Normal"/>
    <w:next w:val="Normal"/>
    <w:semiHidden/>
    <w:rsid w:val="008F263F"/>
    <w:pPr>
      <w:tabs>
        <w:tab w:val="right" w:leader="dot" w:pos="9314"/>
      </w:tabs>
      <w:ind w:left="960"/>
    </w:pPr>
  </w:style>
  <w:style w:type="paragraph" w:styleId="TOC6">
    <w:name w:val="toc 6"/>
    <w:basedOn w:val="Normal"/>
    <w:next w:val="Normal"/>
    <w:semiHidden/>
    <w:rsid w:val="008F263F"/>
    <w:pPr>
      <w:tabs>
        <w:tab w:val="right" w:leader="dot" w:pos="9314"/>
      </w:tabs>
      <w:ind w:left="1200"/>
    </w:pPr>
  </w:style>
  <w:style w:type="paragraph" w:styleId="TOC7">
    <w:name w:val="toc 7"/>
    <w:basedOn w:val="Normal"/>
    <w:next w:val="Normal"/>
    <w:semiHidden/>
    <w:rsid w:val="008F263F"/>
    <w:pPr>
      <w:tabs>
        <w:tab w:val="right" w:leader="dot" w:pos="9314"/>
      </w:tabs>
      <w:ind w:left="1440"/>
    </w:pPr>
  </w:style>
  <w:style w:type="paragraph" w:styleId="TOC8">
    <w:name w:val="toc 8"/>
    <w:basedOn w:val="Normal"/>
    <w:next w:val="Normal"/>
    <w:semiHidden/>
    <w:rsid w:val="008F263F"/>
    <w:pPr>
      <w:tabs>
        <w:tab w:val="right" w:leader="dot" w:pos="9314"/>
      </w:tabs>
      <w:ind w:left="1680"/>
    </w:pPr>
  </w:style>
  <w:style w:type="paragraph" w:styleId="TOC9">
    <w:name w:val="toc 9"/>
    <w:basedOn w:val="Normal"/>
    <w:next w:val="Normal"/>
    <w:semiHidden/>
    <w:rsid w:val="008F263F"/>
    <w:pPr>
      <w:tabs>
        <w:tab w:val="right" w:leader="dot" w:pos="9314"/>
      </w:tabs>
      <w:ind w:left="1920"/>
    </w:pPr>
  </w:style>
  <w:style w:type="character" w:styleId="PageNumber">
    <w:name w:val="page number"/>
    <w:basedOn w:val="DefaultParagraphFont"/>
    <w:rsid w:val="008F263F"/>
  </w:style>
  <w:style w:type="paragraph" w:styleId="BodyText">
    <w:name w:val="Body Text"/>
    <w:basedOn w:val="Normal"/>
    <w:rsid w:val="008F263F"/>
    <w:rPr>
      <w:color w:val="0000FF"/>
    </w:rPr>
  </w:style>
  <w:style w:type="paragraph" w:styleId="BodyText2">
    <w:name w:val="Body Text 2"/>
    <w:basedOn w:val="Normal"/>
    <w:rsid w:val="008F263F"/>
    <w:pPr>
      <w:tabs>
        <w:tab w:val="left" w:pos="-1440"/>
        <w:tab w:val="left" w:pos="-720"/>
      </w:tabs>
    </w:pPr>
    <w:rPr>
      <w:i/>
    </w:rPr>
  </w:style>
  <w:style w:type="paragraph" w:customStyle="1" w:styleId="Ballontekst1">
    <w:name w:val="Ballontekst1"/>
    <w:basedOn w:val="Normal"/>
    <w:semiHidden/>
    <w:rsid w:val="008F263F"/>
    <w:rPr>
      <w:rFonts w:ascii="Tahoma" w:hAnsi="Tahoma" w:cs="Tahoma"/>
      <w:sz w:val="16"/>
      <w:szCs w:val="16"/>
    </w:rPr>
  </w:style>
  <w:style w:type="paragraph" w:styleId="BalloonText">
    <w:name w:val="Balloon Text"/>
    <w:basedOn w:val="Normal"/>
    <w:semiHidden/>
    <w:rsid w:val="003269DA"/>
    <w:rPr>
      <w:rFonts w:ascii="Tahoma" w:hAnsi="Tahoma" w:cs="Tahoma"/>
      <w:sz w:val="16"/>
      <w:szCs w:val="16"/>
    </w:rPr>
  </w:style>
  <w:style w:type="paragraph" w:styleId="BodyText3">
    <w:name w:val="Body Text 3"/>
    <w:basedOn w:val="Normal"/>
    <w:rsid w:val="00A7220C"/>
    <w:pPr>
      <w:spacing w:after="120"/>
    </w:pPr>
    <w:rPr>
      <w:sz w:val="16"/>
      <w:szCs w:val="16"/>
    </w:rPr>
  </w:style>
  <w:style w:type="character" w:styleId="CommentReference">
    <w:name w:val="annotation reference"/>
    <w:rsid w:val="00AE43BC"/>
    <w:rPr>
      <w:sz w:val="16"/>
      <w:szCs w:val="16"/>
    </w:rPr>
  </w:style>
  <w:style w:type="paragraph" w:styleId="CommentText">
    <w:name w:val="annotation text"/>
    <w:basedOn w:val="Normal"/>
    <w:link w:val="CommentTextChar"/>
    <w:rsid w:val="00AE43BC"/>
    <w:rPr>
      <w:sz w:val="20"/>
    </w:rPr>
  </w:style>
  <w:style w:type="character" w:customStyle="1" w:styleId="CommentTextChar">
    <w:name w:val="Comment Text Char"/>
    <w:link w:val="CommentText"/>
    <w:rsid w:val="00AE43BC"/>
    <w:rPr>
      <w:lang w:eastAsia="lv-LV"/>
    </w:rPr>
  </w:style>
  <w:style w:type="paragraph" w:styleId="CommentSubject">
    <w:name w:val="annotation subject"/>
    <w:basedOn w:val="CommentText"/>
    <w:next w:val="CommentText"/>
    <w:link w:val="CommentSubjectChar"/>
    <w:rsid w:val="00AE43BC"/>
    <w:rPr>
      <w:b/>
      <w:bCs/>
    </w:rPr>
  </w:style>
  <w:style w:type="character" w:customStyle="1" w:styleId="CommentSubjectChar">
    <w:name w:val="Comment Subject Char"/>
    <w:link w:val="CommentSubject"/>
    <w:rsid w:val="00AE43BC"/>
    <w:rPr>
      <w:b/>
      <w:bCs/>
      <w:lang w:eastAsia="lv-LV"/>
    </w:rPr>
  </w:style>
  <w:style w:type="paragraph" w:styleId="Revision">
    <w:name w:val="Revision"/>
    <w:hidden/>
    <w:uiPriority w:val="99"/>
    <w:semiHidden/>
    <w:rsid w:val="00CF0E21"/>
    <w:rPr>
      <w:sz w:val="22"/>
    </w:rPr>
  </w:style>
  <w:style w:type="character" w:customStyle="1" w:styleId="FooterChar">
    <w:name w:val="Footer Char"/>
    <w:basedOn w:val="DefaultParagraphFont"/>
    <w:link w:val="Footer"/>
    <w:uiPriority w:val="99"/>
    <w:rsid w:val="00E75F1A"/>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16221036">
      <w:bodyDiv w:val="1"/>
      <w:marLeft w:val="0"/>
      <w:marRight w:val="0"/>
      <w:marTop w:val="0"/>
      <w:marBottom w:val="0"/>
      <w:divBdr>
        <w:top w:val="none" w:sz="0" w:space="0" w:color="auto"/>
        <w:left w:val="none" w:sz="0" w:space="0" w:color="auto"/>
        <w:bottom w:val="none" w:sz="0" w:space="0" w:color="auto"/>
        <w:right w:val="none" w:sz="0" w:space="0" w:color="auto"/>
      </w:divBdr>
    </w:div>
    <w:div w:id="1561213133">
      <w:bodyDiv w:val="1"/>
      <w:marLeft w:val="0"/>
      <w:marRight w:val="0"/>
      <w:marTop w:val="0"/>
      <w:marBottom w:val="0"/>
      <w:divBdr>
        <w:top w:val="none" w:sz="0" w:space="0" w:color="auto"/>
        <w:left w:val="none" w:sz="0" w:space="0" w:color="auto"/>
        <w:bottom w:val="none" w:sz="0" w:space="0" w:color="auto"/>
        <w:right w:val="none" w:sz="0" w:space="0" w:color="auto"/>
      </w:divBdr>
      <w:divsChild>
        <w:div w:id="889806440">
          <w:marLeft w:val="0"/>
          <w:marRight w:val="0"/>
          <w:marTop w:val="240"/>
          <w:marBottom w:val="0"/>
          <w:divBdr>
            <w:top w:val="none" w:sz="0" w:space="0" w:color="auto"/>
            <w:left w:val="none" w:sz="0" w:space="0" w:color="auto"/>
            <w:bottom w:val="none" w:sz="0" w:space="0" w:color="auto"/>
            <w:right w:val="none" w:sz="0" w:space="0" w:color="auto"/>
          </w:divBdr>
        </w:div>
        <w:div w:id="1475412084">
          <w:marLeft w:val="0"/>
          <w:marRight w:val="0"/>
          <w:marTop w:val="240"/>
          <w:marBottom w:val="0"/>
          <w:divBdr>
            <w:top w:val="none" w:sz="0" w:space="0" w:color="auto"/>
            <w:left w:val="none" w:sz="0" w:space="0" w:color="auto"/>
            <w:bottom w:val="none" w:sz="0" w:space="0" w:color="auto"/>
            <w:right w:val="none" w:sz="0" w:space="0" w:color="auto"/>
          </w:divBdr>
        </w:div>
      </w:divsChild>
    </w:div>
    <w:div w:id="1670983606">
      <w:bodyDiv w:val="1"/>
      <w:marLeft w:val="0"/>
      <w:marRight w:val="0"/>
      <w:marTop w:val="0"/>
      <w:marBottom w:val="0"/>
      <w:divBdr>
        <w:top w:val="none" w:sz="0" w:space="0" w:color="auto"/>
        <w:left w:val="none" w:sz="0" w:space="0" w:color="auto"/>
        <w:bottom w:val="none" w:sz="0" w:space="0" w:color="auto"/>
        <w:right w:val="none" w:sz="0" w:space="0" w:color="auto"/>
      </w:divBdr>
    </w:div>
    <w:div w:id="1700816178">
      <w:bodyDiv w:val="1"/>
      <w:marLeft w:val="0"/>
      <w:marRight w:val="0"/>
      <w:marTop w:val="0"/>
      <w:marBottom w:val="0"/>
      <w:divBdr>
        <w:top w:val="none" w:sz="0" w:space="0" w:color="auto"/>
        <w:left w:val="none" w:sz="0" w:space="0" w:color="auto"/>
        <w:bottom w:val="none" w:sz="0" w:space="0" w:color="auto"/>
        <w:right w:val="none" w:sz="0" w:space="0" w:color="auto"/>
      </w:divBdr>
    </w:div>
    <w:div w:id="1820073771">
      <w:bodyDiv w:val="1"/>
      <w:marLeft w:val="0"/>
      <w:marRight w:val="0"/>
      <w:marTop w:val="0"/>
      <w:marBottom w:val="0"/>
      <w:divBdr>
        <w:top w:val="none" w:sz="0" w:space="0" w:color="auto"/>
        <w:left w:val="none" w:sz="0" w:space="0" w:color="auto"/>
        <w:bottom w:val="none" w:sz="0" w:space="0" w:color="auto"/>
        <w:right w:val="none" w:sz="0" w:space="0" w:color="auto"/>
      </w:divBdr>
    </w:div>
    <w:div w:id="1981878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EA6FC2-65C4-40E4-B0BB-5EECC902B1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1666</Words>
  <Characters>11577</Characters>
  <DocSecurity>0</DocSecurity>
  <Lines>96</Lines>
  <Paragraphs>26</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PART IB Forthyron 200 and 400</vt:lpstr>
      <vt:lpstr>PART IB Forthyron 200 and 400</vt:lpstr>
    </vt:vector>
  </TitlesOfParts>
  <LinksUpToDate>false</LinksUpToDate>
  <CharactersWithSpaces>13217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