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D24F3" w14:textId="489BD45E" w:rsidR="006568A2" w:rsidRDefault="00D86C52">
      <w:pPr>
        <w:spacing w:after="0" w:line="240" w:lineRule="auto"/>
        <w:jc w:val="center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LIETOŠANAS INSTRUKCIJA</w:t>
      </w:r>
    </w:p>
    <w:p w14:paraId="125911CB" w14:textId="35BFA8D7" w:rsidR="002F57E7" w:rsidRPr="00EC43A9" w:rsidRDefault="00EC43A9">
      <w:pPr>
        <w:spacing w:after="0" w:line="240" w:lineRule="auto"/>
        <w:jc w:val="center"/>
        <w:rPr>
          <w:rFonts w:asciiTheme="majorBidi" w:hAnsiTheme="majorBidi" w:cstheme="majorBidi"/>
          <w:b/>
          <w:szCs w:val="24"/>
          <w:lang w:val="lv-LV"/>
        </w:rPr>
      </w:pPr>
      <w:r w:rsidRPr="00EC43A9">
        <w:rPr>
          <w:rFonts w:asciiTheme="majorBidi" w:hAnsiTheme="majorBidi" w:cstheme="majorBidi"/>
          <w:b/>
          <w:szCs w:val="24"/>
          <w:lang w:val="lv-LV"/>
        </w:rPr>
        <w:t>V/DCP/19/0030</w:t>
      </w:r>
    </w:p>
    <w:p w14:paraId="06FF5247" w14:textId="77777777" w:rsidR="006568A2" w:rsidRPr="00242AAA" w:rsidRDefault="00D86C52">
      <w:pPr>
        <w:spacing w:after="0" w:line="240" w:lineRule="auto"/>
        <w:jc w:val="center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 xml:space="preserve">Sympagesic 500 mg/ml + 4 mg/ml šķīdums injekcijām zirgiem, liellopiem, cūkām un suņiem </w:t>
      </w:r>
    </w:p>
    <w:p w14:paraId="0C0412A9" w14:textId="77777777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7E0C4E77" w14:textId="77777777" w:rsidR="002F57E7" w:rsidRPr="00242AAA" w:rsidRDefault="002F57E7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34C9EF6" w14:textId="77777777" w:rsidR="006568A2" w:rsidRPr="00242AAA" w:rsidRDefault="00D86C52" w:rsidP="00A113F8">
      <w:pPr>
        <w:spacing w:after="0" w:line="240" w:lineRule="auto"/>
        <w:ind w:left="567" w:hanging="567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1.</w:t>
      </w: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7D7AF45E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bookmarkStart w:id="0" w:name="_GoBack"/>
      <w:bookmarkEnd w:id="0"/>
    </w:p>
    <w:p w14:paraId="70FDB268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u w:val="single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Reģistrācijas apliecības īpašnieks:</w:t>
      </w:r>
    </w:p>
    <w:p w14:paraId="4FB22E26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Dechra Regulatory B.V.</w:t>
      </w:r>
    </w:p>
    <w:p w14:paraId="01A15714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Handelsweg 25</w:t>
      </w:r>
    </w:p>
    <w:p w14:paraId="259643A1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5531 AE Bladel</w:t>
      </w:r>
    </w:p>
    <w:p w14:paraId="10AD3529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Nīderlande</w:t>
      </w:r>
    </w:p>
    <w:p w14:paraId="5FDD1150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u w:val="single"/>
          <w:lang w:val="lv-LV"/>
        </w:rPr>
      </w:pPr>
    </w:p>
    <w:p w14:paraId="3EEE2116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u w:val="single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Par sērijas izlaidi atbildīgais ražotājs:</w:t>
      </w:r>
    </w:p>
    <w:p w14:paraId="2C952B0A" w14:textId="77777777" w:rsidR="00CA4439" w:rsidRPr="006E0775" w:rsidRDefault="00CA4439" w:rsidP="00CA4439">
      <w:pPr>
        <w:spacing w:after="0" w:line="240" w:lineRule="auto"/>
        <w:jc w:val="both"/>
        <w:rPr>
          <w:rFonts w:asciiTheme="majorBidi" w:hAnsiTheme="majorBidi" w:cstheme="majorBidi"/>
          <w:bCs/>
          <w:iCs/>
          <w:szCs w:val="24"/>
          <w:lang w:val="lv-LV"/>
        </w:rPr>
      </w:pPr>
      <w:r w:rsidRPr="006E0775">
        <w:rPr>
          <w:rFonts w:asciiTheme="majorBidi" w:hAnsiTheme="majorBidi" w:cstheme="majorBidi"/>
          <w:bCs/>
          <w:iCs/>
          <w:szCs w:val="24"/>
          <w:lang w:val="lv-LV"/>
        </w:rPr>
        <w:t>Genera Inc.</w:t>
      </w:r>
    </w:p>
    <w:p w14:paraId="71A0F0FA" w14:textId="77777777" w:rsidR="00CA4439" w:rsidRPr="006E0775" w:rsidRDefault="00CA4439" w:rsidP="00CA4439">
      <w:pPr>
        <w:spacing w:after="0" w:line="240" w:lineRule="auto"/>
        <w:jc w:val="both"/>
        <w:rPr>
          <w:rFonts w:asciiTheme="majorBidi" w:hAnsiTheme="majorBidi" w:cstheme="majorBidi"/>
          <w:bCs/>
          <w:iCs/>
          <w:szCs w:val="24"/>
          <w:lang w:val="lv-LV"/>
        </w:rPr>
      </w:pPr>
      <w:r w:rsidRPr="006E0775">
        <w:rPr>
          <w:rFonts w:asciiTheme="majorBidi" w:hAnsiTheme="majorBidi" w:cstheme="majorBidi"/>
          <w:bCs/>
          <w:iCs/>
          <w:szCs w:val="24"/>
          <w:lang w:val="lv-LV"/>
        </w:rPr>
        <w:t>Svetonedeljska cesta 2</w:t>
      </w:r>
    </w:p>
    <w:p w14:paraId="46499890" w14:textId="77777777" w:rsidR="00CA4439" w:rsidRPr="006E0775" w:rsidRDefault="00CA4439" w:rsidP="00CA4439">
      <w:pPr>
        <w:spacing w:after="0" w:line="240" w:lineRule="auto"/>
        <w:jc w:val="both"/>
        <w:rPr>
          <w:rFonts w:asciiTheme="majorBidi" w:hAnsiTheme="majorBidi" w:cstheme="majorBidi"/>
          <w:bCs/>
          <w:iCs/>
          <w:szCs w:val="24"/>
          <w:lang w:val="lv-LV"/>
        </w:rPr>
      </w:pPr>
      <w:r w:rsidRPr="006E0775">
        <w:rPr>
          <w:rFonts w:asciiTheme="majorBidi" w:hAnsiTheme="majorBidi" w:cstheme="majorBidi"/>
          <w:bCs/>
          <w:iCs/>
          <w:szCs w:val="24"/>
          <w:lang w:val="lv-LV"/>
        </w:rPr>
        <w:t>Kalinovica</w:t>
      </w:r>
    </w:p>
    <w:p w14:paraId="106E9BF7" w14:textId="77777777" w:rsidR="00CA4439" w:rsidRPr="006E0775" w:rsidRDefault="00CA4439" w:rsidP="00CA4439">
      <w:pPr>
        <w:spacing w:after="0" w:line="240" w:lineRule="auto"/>
        <w:jc w:val="both"/>
        <w:rPr>
          <w:rFonts w:asciiTheme="majorBidi" w:hAnsiTheme="majorBidi" w:cstheme="majorBidi"/>
          <w:bCs/>
          <w:iCs/>
          <w:szCs w:val="24"/>
          <w:lang w:val="lv-LV"/>
        </w:rPr>
      </w:pPr>
      <w:r w:rsidRPr="006E0775">
        <w:rPr>
          <w:rFonts w:asciiTheme="majorBidi" w:hAnsiTheme="majorBidi" w:cstheme="majorBidi"/>
          <w:bCs/>
          <w:iCs/>
          <w:szCs w:val="24"/>
          <w:lang w:val="lv-LV"/>
        </w:rPr>
        <w:t>10436 Rakov Potok</w:t>
      </w:r>
    </w:p>
    <w:p w14:paraId="4E9699DB" w14:textId="77777777" w:rsidR="00E15C44" w:rsidRPr="006E0775" w:rsidRDefault="00E15C44" w:rsidP="00E15C44">
      <w:pPr>
        <w:spacing w:after="0" w:line="240" w:lineRule="auto"/>
        <w:jc w:val="both"/>
        <w:rPr>
          <w:rFonts w:asciiTheme="majorBidi" w:hAnsiTheme="majorBidi" w:cstheme="majorBidi"/>
          <w:bCs/>
          <w:iCs/>
          <w:szCs w:val="24"/>
          <w:lang w:val="lv-LV"/>
        </w:rPr>
      </w:pPr>
      <w:r w:rsidRPr="00E15C44">
        <w:rPr>
          <w:rFonts w:asciiTheme="majorBidi" w:hAnsiTheme="majorBidi" w:cstheme="majorBidi"/>
          <w:bCs/>
          <w:iCs/>
          <w:szCs w:val="24"/>
          <w:lang w:val="lv-LV"/>
        </w:rPr>
        <w:t>Horvātija</w:t>
      </w:r>
    </w:p>
    <w:p w14:paraId="33F5459D" w14:textId="668A9CEB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37C6D9A" w14:textId="77777777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EAA2741" w14:textId="77777777" w:rsidR="002F57E7" w:rsidRPr="00242AAA" w:rsidRDefault="002F57E7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3785976B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2.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VETERINĀRO ZĀĻU NOSAUKUMS</w:t>
      </w:r>
    </w:p>
    <w:p w14:paraId="1B0EC1FC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034996B" w14:textId="5016207A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A113F8">
        <w:rPr>
          <w:rFonts w:asciiTheme="majorBidi" w:hAnsiTheme="majorBidi" w:cstheme="majorBidi"/>
          <w:b/>
          <w:szCs w:val="24"/>
          <w:lang w:val="lv-LV"/>
        </w:rPr>
        <w:t>Sympagesic 500 mg/ml + 4 mg/ml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šķīdums injekcijām zirgiem, liellopiem, cūkām un suņiem</w:t>
      </w:r>
    </w:p>
    <w:p w14:paraId="1CEE728B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i/>
          <w:szCs w:val="24"/>
          <w:lang w:val="lv-LV"/>
        </w:rPr>
        <w:t>Metamizolum natricum monohydricum</w:t>
      </w:r>
    </w:p>
    <w:p w14:paraId="02ACFBB7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Style w:val="Emphasis"/>
          <w:rFonts w:asciiTheme="majorBidi" w:hAnsiTheme="majorBidi" w:cstheme="majorBidi"/>
          <w:iCs w:val="0"/>
          <w:szCs w:val="24"/>
          <w:lang w:val="lv-LV"/>
        </w:rPr>
        <w:t>Hyoscini butylbromidum</w:t>
      </w:r>
    </w:p>
    <w:p w14:paraId="41415E51" w14:textId="6DED3739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406C6697" w14:textId="77777777" w:rsidR="005D6F70" w:rsidRPr="00242AAA" w:rsidRDefault="005D6F70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3CC242C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3.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AKTĪVO VIELU UN CITU VIELU NOSAUKUMS</w:t>
      </w:r>
    </w:p>
    <w:p w14:paraId="49944ED3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59A0E040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Viens ml satur:</w:t>
      </w:r>
    </w:p>
    <w:p w14:paraId="0BC7CACC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0ABBBBE5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Aktīvās vielas:</w:t>
      </w:r>
    </w:p>
    <w:p w14:paraId="5F23F41D" w14:textId="30B0A23C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Metamizola nātrija</w:t>
      </w:r>
      <w:r w:rsidR="002F57E7">
        <w:rPr>
          <w:rFonts w:asciiTheme="majorBidi" w:hAnsiTheme="majorBidi" w:cstheme="majorBidi"/>
          <w:szCs w:val="24"/>
          <w:lang w:val="lv-LV"/>
        </w:rPr>
        <w:t xml:space="preserve"> sāls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monohidrāts</w:t>
      </w:r>
      <w:r w:rsidRPr="00242AAA">
        <w:rPr>
          <w:rFonts w:asciiTheme="majorBidi" w:hAnsiTheme="majorBidi" w:cstheme="majorBidi"/>
          <w:szCs w:val="24"/>
          <w:lang w:val="lv-LV"/>
        </w:rPr>
        <w:tab/>
      </w:r>
      <w:r w:rsidR="001258C5" w:rsidRPr="00242AAA">
        <w:rPr>
          <w:rFonts w:asciiTheme="majorBidi" w:hAnsiTheme="majorBidi" w:cstheme="majorBidi"/>
          <w:szCs w:val="24"/>
          <w:lang w:val="lv-LV"/>
        </w:rPr>
        <w:tab/>
      </w:r>
      <w:r w:rsidRPr="00242AAA">
        <w:rPr>
          <w:rFonts w:asciiTheme="majorBidi" w:hAnsiTheme="majorBidi" w:cstheme="majorBidi"/>
          <w:szCs w:val="24"/>
          <w:lang w:val="lv-LV"/>
        </w:rPr>
        <w:t>500,0 mg</w:t>
      </w:r>
    </w:p>
    <w:p w14:paraId="0158F805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(atbilst 443 mg metamizola)</w:t>
      </w:r>
    </w:p>
    <w:p w14:paraId="4D2F987B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35F97729" w14:textId="034CA56D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Hioscīna butilbromīds</w:t>
      </w:r>
      <w:r w:rsidRPr="00242AAA">
        <w:rPr>
          <w:rFonts w:asciiTheme="majorBidi" w:hAnsiTheme="majorBidi" w:cstheme="majorBidi"/>
          <w:szCs w:val="24"/>
          <w:lang w:val="lv-LV"/>
        </w:rPr>
        <w:tab/>
      </w:r>
      <w:r w:rsidRPr="00242AAA">
        <w:rPr>
          <w:rFonts w:asciiTheme="majorBidi" w:hAnsiTheme="majorBidi" w:cstheme="majorBidi"/>
          <w:szCs w:val="24"/>
          <w:lang w:val="lv-LV"/>
        </w:rPr>
        <w:tab/>
      </w:r>
      <w:r w:rsidRPr="00242AAA">
        <w:rPr>
          <w:rFonts w:asciiTheme="majorBidi" w:hAnsiTheme="majorBidi" w:cstheme="majorBidi"/>
          <w:szCs w:val="24"/>
          <w:lang w:val="lv-LV"/>
        </w:rPr>
        <w:tab/>
      </w:r>
      <w:r w:rsidR="002F57E7">
        <w:rPr>
          <w:rFonts w:asciiTheme="majorBidi" w:hAnsiTheme="majorBidi" w:cstheme="majorBidi"/>
          <w:szCs w:val="24"/>
          <w:lang w:val="lv-LV"/>
        </w:rPr>
        <w:tab/>
      </w:r>
      <w:r w:rsidRPr="00242AAA">
        <w:rPr>
          <w:rFonts w:asciiTheme="majorBidi" w:hAnsiTheme="majorBidi" w:cstheme="majorBidi"/>
          <w:szCs w:val="24"/>
          <w:lang w:val="lv-LV"/>
        </w:rPr>
        <w:t>4,0 mg</w:t>
      </w:r>
    </w:p>
    <w:p w14:paraId="3E5D21FB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(atbilst 2,76 mg hioscīna)</w:t>
      </w:r>
    </w:p>
    <w:p w14:paraId="15ED7BF8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52B98E24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Palīgvielas:</w:t>
      </w:r>
    </w:p>
    <w:p w14:paraId="338EEBFF" w14:textId="465340EC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Fenols</w:t>
      </w:r>
      <w:r w:rsidRPr="00242AAA">
        <w:rPr>
          <w:rFonts w:asciiTheme="majorBidi" w:hAnsiTheme="majorBidi" w:cstheme="majorBidi"/>
          <w:szCs w:val="24"/>
          <w:lang w:val="lv-LV"/>
        </w:rPr>
        <w:tab/>
      </w:r>
      <w:r w:rsidRPr="00242AAA">
        <w:rPr>
          <w:rFonts w:asciiTheme="majorBidi" w:hAnsiTheme="majorBidi" w:cstheme="majorBidi"/>
          <w:szCs w:val="24"/>
          <w:lang w:val="lv-LV"/>
        </w:rPr>
        <w:tab/>
      </w:r>
      <w:r w:rsidR="002F57E7">
        <w:rPr>
          <w:rFonts w:asciiTheme="majorBidi" w:hAnsiTheme="majorBidi" w:cstheme="majorBidi"/>
          <w:szCs w:val="24"/>
          <w:lang w:val="lv-LV"/>
        </w:rPr>
        <w:tab/>
      </w:r>
      <w:r w:rsidR="002F57E7">
        <w:rPr>
          <w:rFonts w:asciiTheme="majorBidi" w:hAnsiTheme="majorBidi" w:cstheme="majorBidi"/>
          <w:szCs w:val="24"/>
          <w:lang w:val="lv-LV"/>
        </w:rPr>
        <w:tab/>
      </w:r>
      <w:r w:rsidR="002F57E7">
        <w:rPr>
          <w:rFonts w:asciiTheme="majorBidi" w:hAnsiTheme="majorBidi" w:cstheme="majorBidi"/>
          <w:szCs w:val="24"/>
          <w:lang w:val="lv-LV"/>
        </w:rPr>
        <w:tab/>
      </w:r>
      <w:r w:rsidR="002F57E7">
        <w:rPr>
          <w:rFonts w:asciiTheme="majorBidi" w:hAnsiTheme="majorBidi" w:cstheme="majorBidi"/>
          <w:szCs w:val="24"/>
          <w:lang w:val="lv-LV"/>
        </w:rPr>
        <w:tab/>
      </w:r>
      <w:r w:rsidRPr="00242AAA">
        <w:rPr>
          <w:rFonts w:asciiTheme="majorBidi" w:hAnsiTheme="majorBidi" w:cstheme="majorBidi"/>
          <w:szCs w:val="24"/>
          <w:lang w:val="lv-LV"/>
        </w:rPr>
        <w:t>5,0 mg</w:t>
      </w:r>
    </w:p>
    <w:p w14:paraId="0D006537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63379EB5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Dzidrs, iedzeltens šķīdums.</w:t>
      </w:r>
    </w:p>
    <w:p w14:paraId="67D07AA4" w14:textId="19A88374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70C7AF63" w14:textId="77777777" w:rsidR="005D6F70" w:rsidRPr="00242AAA" w:rsidRDefault="005D6F70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43FDCD34" w14:textId="5F4D1606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4.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INDIKĀCIJAS</w:t>
      </w:r>
    </w:p>
    <w:p w14:paraId="7AB625BE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38D2F2C5" w14:textId="300644E9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bookmarkStart w:id="1" w:name="_Hlk509574534"/>
      <w:r w:rsidRPr="00242AAA">
        <w:rPr>
          <w:rFonts w:asciiTheme="majorBidi" w:hAnsiTheme="majorBidi" w:cstheme="majorBidi"/>
          <w:szCs w:val="24"/>
          <w:lang w:val="lv-LV"/>
        </w:rPr>
        <w:t>Zirgi</w:t>
      </w:r>
      <w:r w:rsidR="002F57E7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>, liellopi</w:t>
      </w:r>
      <w:r w:rsidR="002F57E7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>, cūk</w:t>
      </w:r>
      <w:r w:rsidR="002F57E7">
        <w:rPr>
          <w:rFonts w:asciiTheme="majorBidi" w:hAnsiTheme="majorBidi" w:cstheme="majorBidi"/>
          <w:szCs w:val="24"/>
          <w:lang w:val="lv-LV"/>
        </w:rPr>
        <w:t>ām</w:t>
      </w:r>
      <w:r w:rsidRPr="00242AAA">
        <w:rPr>
          <w:rFonts w:asciiTheme="majorBidi" w:hAnsiTheme="majorBidi" w:cstheme="majorBidi"/>
          <w:szCs w:val="24"/>
          <w:lang w:val="lv-LV"/>
        </w:rPr>
        <w:t>, suņi</w:t>
      </w:r>
      <w:r w:rsidR="002F57E7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 xml:space="preserve">: ar kuņģa-zarnu trakta, uroģenitālās sistēmas un žults izvadsistēmas </w:t>
      </w:r>
      <w:r w:rsidR="002F57E7">
        <w:rPr>
          <w:rFonts w:asciiTheme="majorBidi" w:hAnsiTheme="majorBidi" w:cstheme="majorBidi"/>
          <w:szCs w:val="24"/>
          <w:lang w:val="lv-LV"/>
        </w:rPr>
        <w:t xml:space="preserve">darbības </w:t>
      </w:r>
      <w:r w:rsidRPr="00242AAA">
        <w:rPr>
          <w:rFonts w:asciiTheme="majorBidi" w:hAnsiTheme="majorBidi" w:cstheme="majorBidi"/>
          <w:szCs w:val="24"/>
          <w:lang w:val="lv-LV"/>
        </w:rPr>
        <w:t>traucējumiem saistītu gludās muskulatūras spazmu un sāpju ārstēšana</w:t>
      </w:r>
      <w:r w:rsidR="002F57E7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>.</w:t>
      </w:r>
    </w:p>
    <w:bookmarkEnd w:id="1"/>
    <w:p w14:paraId="0FB83614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8FF4DD2" w14:textId="1BD1D7A3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Tikai zirgi</w:t>
      </w:r>
      <w:r w:rsidR="002F57E7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>: spazmveida kolikas.</w:t>
      </w:r>
    </w:p>
    <w:p w14:paraId="65593FBD" w14:textId="572D688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Liellopi</w:t>
      </w:r>
      <w:r w:rsidR="002F57E7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>, cūk</w:t>
      </w:r>
      <w:r w:rsidR="002F57E7">
        <w:rPr>
          <w:rFonts w:asciiTheme="majorBidi" w:hAnsiTheme="majorBidi" w:cstheme="majorBidi"/>
          <w:szCs w:val="24"/>
          <w:lang w:val="lv-LV"/>
        </w:rPr>
        <w:t>ām</w:t>
      </w:r>
      <w:r w:rsidRPr="00242AAA">
        <w:rPr>
          <w:rFonts w:asciiTheme="majorBidi" w:hAnsiTheme="majorBidi" w:cstheme="majorBidi"/>
          <w:szCs w:val="24"/>
          <w:lang w:val="lv-LV"/>
        </w:rPr>
        <w:t>, suņi</w:t>
      </w:r>
      <w:r w:rsidR="002F57E7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 xml:space="preserve">: </w:t>
      </w:r>
      <w:r w:rsidR="002F57E7" w:rsidRPr="002F57E7">
        <w:rPr>
          <w:rFonts w:ascii="Times New Roman" w:hAnsi="Times New Roman"/>
          <w:szCs w:val="24"/>
          <w:lang w:val="lv-LV"/>
        </w:rPr>
        <w:t>papild</w:t>
      </w:r>
      <w:r w:rsidR="002F57E7">
        <w:rPr>
          <w:rFonts w:ascii="Times New Roman" w:hAnsi="Times New Roman"/>
          <w:szCs w:val="24"/>
          <w:lang w:val="lv-LV"/>
        </w:rPr>
        <w:t xml:space="preserve">u </w:t>
      </w:r>
      <w:r w:rsidR="002F57E7" w:rsidRPr="002F57E7">
        <w:rPr>
          <w:rFonts w:ascii="Times New Roman" w:hAnsi="Times New Roman"/>
          <w:szCs w:val="24"/>
          <w:lang w:val="lv-LV"/>
        </w:rPr>
        <w:t>terapija</w:t>
      </w:r>
      <w:r w:rsidR="002F57E7">
        <w:rPr>
          <w:rFonts w:ascii="Times New Roman" w:hAnsi="Times New Roman"/>
          <w:szCs w:val="24"/>
          <w:lang w:val="lv-LV"/>
        </w:rPr>
        <w:t xml:space="preserve">i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akūtas </w:t>
      </w:r>
      <w:r w:rsidR="002F57E7">
        <w:rPr>
          <w:rFonts w:asciiTheme="majorBidi" w:hAnsiTheme="majorBidi" w:cstheme="majorBidi"/>
          <w:szCs w:val="24"/>
          <w:lang w:val="lv-LV"/>
        </w:rPr>
        <w:t>diarejas</w:t>
      </w:r>
      <w:r w:rsidR="002F57E7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un gastroenterīta</w:t>
      </w:r>
      <w:r w:rsidR="002F57E7">
        <w:rPr>
          <w:rFonts w:asciiTheme="majorBidi" w:hAnsiTheme="majorBidi" w:cstheme="majorBidi"/>
          <w:szCs w:val="24"/>
          <w:lang w:val="lv-LV"/>
        </w:rPr>
        <w:t xml:space="preserve"> gadījumā. </w:t>
      </w:r>
    </w:p>
    <w:p w14:paraId="2BEF1652" w14:textId="77777777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27DADE0" w14:textId="77777777" w:rsidR="002F57E7" w:rsidRPr="00242AAA" w:rsidRDefault="002F57E7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E380768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lastRenderedPageBreak/>
        <w:t>5.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KONTRINDIKĀCIJAS</w:t>
      </w:r>
    </w:p>
    <w:p w14:paraId="1680DC6D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8950B8D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Nelietot gadījumos, ja konstatēta pastiprināta jutība pret aktīvajām vielām vai pret kādu no palīgvielām.</w:t>
      </w:r>
    </w:p>
    <w:p w14:paraId="38E904C7" w14:textId="0A48F984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A113F8">
        <w:rPr>
          <w:rFonts w:asciiTheme="majorBidi" w:hAnsiTheme="majorBidi" w:cstheme="majorBidi"/>
          <w:lang w:val="lv-LV"/>
        </w:rPr>
        <w:t>Nelietot šād</w:t>
      </w:r>
      <w:r w:rsidR="002F57E7" w:rsidRPr="00A113F8">
        <w:rPr>
          <w:rFonts w:asciiTheme="majorBidi" w:hAnsiTheme="majorBidi" w:cstheme="majorBidi"/>
          <w:lang w:val="lv-LV"/>
        </w:rPr>
        <w:t>os</w:t>
      </w:r>
      <w:r w:rsidRPr="00A113F8">
        <w:rPr>
          <w:rFonts w:asciiTheme="majorBidi" w:hAnsiTheme="majorBidi" w:cstheme="majorBidi"/>
          <w:lang w:val="lv-LV"/>
        </w:rPr>
        <w:t xml:space="preserve"> gadījum</w:t>
      </w:r>
      <w:r w:rsidR="002F57E7" w:rsidRPr="00A113F8">
        <w:rPr>
          <w:rFonts w:asciiTheme="majorBidi" w:hAnsiTheme="majorBidi" w:cstheme="majorBidi"/>
          <w:lang w:val="lv-LV"/>
        </w:rPr>
        <w:t>os</w:t>
      </w:r>
      <w:r w:rsidRPr="00242AAA">
        <w:rPr>
          <w:rFonts w:asciiTheme="majorBidi" w:hAnsiTheme="majorBidi" w:cstheme="majorBidi"/>
          <w:sz w:val="24"/>
          <w:szCs w:val="24"/>
          <w:lang w:val="lv-LV"/>
        </w:rPr>
        <w:t>:</w:t>
      </w:r>
    </w:p>
    <w:p w14:paraId="5E6916FD" w14:textId="2C98FEF7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čūla</w:t>
      </w:r>
      <w:r w:rsidR="002F57E7">
        <w:rPr>
          <w:rFonts w:asciiTheme="majorBidi" w:hAnsiTheme="majorBidi" w:cstheme="majorBidi"/>
          <w:szCs w:val="24"/>
          <w:lang w:val="lv-LV"/>
        </w:rPr>
        <w:t>s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kuņģa-zarnu traktā</w:t>
      </w:r>
      <w:r w:rsidR="002F57E7">
        <w:rPr>
          <w:rFonts w:asciiTheme="majorBidi" w:hAnsiTheme="majorBidi" w:cstheme="majorBidi"/>
          <w:szCs w:val="24"/>
          <w:lang w:val="lv-LV"/>
        </w:rPr>
        <w:t>,</w:t>
      </w:r>
    </w:p>
    <w:p w14:paraId="00A3D9CE" w14:textId="047A248C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hroniski kuņģa-zarnu trakta darbības traucējumi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28E76AE9" w14:textId="5CD8C807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mehānisks kuņģa-zarnu trakta nosprostojums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50FD3387" w14:textId="037EA517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paralītiskais ileuss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1CAEA0F1" w14:textId="2C901017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asinsrades sistēmas traucējumi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72610614" w14:textId="2DC606B1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koagulopātija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0F3326E1" w14:textId="20FB80F4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nieru mazspēja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386731B9" w14:textId="6B8EE382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tahiaritmija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69EB5195" w14:textId="63BAEE62" w:rsidR="006568A2" w:rsidRPr="00242AAA" w:rsidRDefault="00D86C52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glaukoma</w:t>
      </w:r>
      <w:r w:rsidR="00A67751">
        <w:rPr>
          <w:rFonts w:asciiTheme="majorBidi" w:hAnsiTheme="majorBidi" w:cstheme="majorBidi"/>
          <w:szCs w:val="24"/>
          <w:lang w:val="lv-LV"/>
        </w:rPr>
        <w:t xml:space="preserve">, </w:t>
      </w:r>
    </w:p>
    <w:p w14:paraId="03A5B6FF" w14:textId="1557FEB2" w:rsidR="006568A2" w:rsidRPr="00242AAA" w:rsidRDefault="00A67751" w:rsidP="00A113F8">
      <w:pPr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pr</w:t>
      </w:r>
      <w:r>
        <w:rPr>
          <w:rFonts w:asciiTheme="majorBidi" w:hAnsiTheme="majorBidi" w:cstheme="majorBidi"/>
          <w:szCs w:val="24"/>
          <w:lang w:val="lv-LV"/>
        </w:rPr>
        <w:t>iekšdziedzera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="00D86C52" w:rsidRPr="00242AAA">
        <w:rPr>
          <w:rFonts w:asciiTheme="majorBidi" w:hAnsiTheme="majorBidi" w:cstheme="majorBidi"/>
          <w:szCs w:val="24"/>
          <w:lang w:val="lv-LV"/>
        </w:rPr>
        <w:t>adenoma.</w:t>
      </w:r>
    </w:p>
    <w:p w14:paraId="0769FD67" w14:textId="77777777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9AA0893" w14:textId="77777777" w:rsidR="00A67751" w:rsidRPr="00242AAA" w:rsidRDefault="00A67751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82B04B4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6.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IESPĒJAMĀS BLAKUSPARĀDĪBAS</w:t>
      </w:r>
    </w:p>
    <w:p w14:paraId="75602E47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5DC3F2D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Ļoti retos gadījumos var rasties anafilaktiskas reakcijas, kuras jāārstē simptomātiski.</w:t>
      </w:r>
    </w:p>
    <w:p w14:paraId="6D704BAE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Ļoti retos gadījumos var rasties kardiovaskulārais šoks, ja intravenozā injekcija ir ievadīta pārāk ātri.</w:t>
      </w:r>
    </w:p>
    <w:p w14:paraId="0814441B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bookmarkStart w:id="2" w:name="_Hlk2238662"/>
      <w:r w:rsidRPr="00242AAA">
        <w:rPr>
          <w:rFonts w:asciiTheme="majorBidi" w:hAnsiTheme="majorBidi" w:cstheme="majorBidi"/>
          <w:szCs w:val="24"/>
          <w:lang w:val="lv-LV"/>
        </w:rPr>
        <w:t>Zirgiem reizēm var rasties viegla tahikardija, ko izraisa hioscīna butilbromīda parasimpatolītiskā aktivitāte.</w:t>
      </w:r>
    </w:p>
    <w:bookmarkEnd w:id="2"/>
    <w:p w14:paraId="0C8576E2" w14:textId="714CC721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Suņiem </w:t>
      </w:r>
      <w:r w:rsidR="00A67751">
        <w:rPr>
          <w:rFonts w:asciiTheme="majorBidi" w:hAnsiTheme="majorBidi" w:cstheme="majorBidi"/>
          <w:szCs w:val="24"/>
          <w:lang w:val="lv-LV"/>
        </w:rPr>
        <w:t>uzreiz</w:t>
      </w:r>
      <w:r w:rsidR="00A67751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pēc</w:t>
      </w:r>
      <w:r w:rsidR="00A67751">
        <w:rPr>
          <w:rFonts w:asciiTheme="majorBidi" w:hAnsiTheme="majorBidi" w:cstheme="majorBidi"/>
          <w:szCs w:val="24"/>
          <w:lang w:val="lv-LV"/>
        </w:rPr>
        <w:t xml:space="preserve"> zāļu ievadīšanas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injekcijas</w:t>
      </w:r>
      <w:r w:rsidR="00A67751">
        <w:rPr>
          <w:rFonts w:asciiTheme="majorBidi" w:hAnsiTheme="majorBidi" w:cstheme="majorBidi"/>
          <w:szCs w:val="24"/>
          <w:lang w:val="lv-LV"/>
        </w:rPr>
        <w:t xml:space="preserve"> vietā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var rasties sāpīgas reakcijas</w:t>
      </w:r>
      <w:r w:rsidR="00A67751">
        <w:rPr>
          <w:rFonts w:asciiTheme="majorBidi" w:hAnsiTheme="majorBidi" w:cstheme="majorBidi"/>
          <w:szCs w:val="24"/>
          <w:lang w:val="lv-LV"/>
        </w:rPr>
        <w:t>,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="00A67751">
        <w:rPr>
          <w:rFonts w:asciiTheme="majorBidi" w:hAnsiTheme="majorBidi" w:cstheme="majorBidi"/>
          <w:szCs w:val="24"/>
          <w:lang w:val="lv-LV"/>
        </w:rPr>
        <w:t xml:space="preserve">kas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ātri </w:t>
      </w:r>
      <w:r w:rsidR="00A67751">
        <w:rPr>
          <w:rFonts w:asciiTheme="majorBidi" w:hAnsiTheme="majorBidi" w:cstheme="majorBidi"/>
          <w:szCs w:val="24"/>
          <w:lang w:val="lv-LV"/>
        </w:rPr>
        <w:t>mazinās</w:t>
      </w:r>
      <w:r w:rsidR="00A67751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un tām nav negatīvas ietekmes uz paredzamo terapeitisko ie</w:t>
      </w:r>
      <w:r w:rsidR="00A67751">
        <w:rPr>
          <w:rFonts w:asciiTheme="majorBidi" w:hAnsiTheme="majorBidi" w:cstheme="majorBidi"/>
          <w:szCs w:val="24"/>
          <w:lang w:val="lv-LV"/>
        </w:rPr>
        <w:t>darbību</w:t>
      </w:r>
      <w:r w:rsidRPr="00242AAA">
        <w:rPr>
          <w:rFonts w:asciiTheme="majorBidi" w:hAnsiTheme="majorBidi" w:cstheme="majorBidi"/>
          <w:szCs w:val="24"/>
          <w:lang w:val="lv-LV"/>
        </w:rPr>
        <w:t>.</w:t>
      </w:r>
    </w:p>
    <w:p w14:paraId="772E82FB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4E63D0F1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Veterināro zāļu blakusparādību sastopamības biežums norādīts sekojošā secībā:</w:t>
      </w:r>
    </w:p>
    <w:p w14:paraId="66538DD5" w14:textId="29803972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- ļoti bieži (vairāk nekā 1 no 10 ārstētajiem dzīvniekiem novērota(-s) nevēlama(-s) blakusparādība</w:t>
      </w:r>
      <w:r w:rsidR="00A67751" w:rsidRPr="00242AAA">
        <w:rPr>
          <w:rFonts w:asciiTheme="majorBidi" w:hAnsiTheme="majorBidi" w:cstheme="majorBidi"/>
          <w:szCs w:val="24"/>
          <w:lang w:val="lv-LV"/>
        </w:rPr>
        <w:t>(</w:t>
      </w:r>
      <w:r w:rsidR="00A67751">
        <w:rPr>
          <w:rFonts w:asciiTheme="majorBidi" w:hAnsiTheme="majorBidi" w:cstheme="majorBidi"/>
          <w:szCs w:val="24"/>
          <w:lang w:val="lv-LV"/>
        </w:rPr>
        <w:noBreakHyphen/>
      </w:r>
      <w:r w:rsidRPr="00242AAA">
        <w:rPr>
          <w:rFonts w:asciiTheme="majorBidi" w:hAnsiTheme="majorBidi" w:cstheme="majorBidi"/>
          <w:szCs w:val="24"/>
          <w:lang w:val="lv-LV"/>
        </w:rPr>
        <w:t xml:space="preserve">s)); </w:t>
      </w:r>
    </w:p>
    <w:p w14:paraId="2E750DE1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- bieži (vairāk nekā 1, bet mazāk nekā 10 dzīvniekiem no 100 ārstētajiem dzīvniekiem);</w:t>
      </w:r>
    </w:p>
    <w:p w14:paraId="5BA240FC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- retāk (vairāk nekā 1, bet mazāk nekā 10 dzīvniekiem no 1000 ārstētajiem dzīvniekiem);</w:t>
      </w:r>
    </w:p>
    <w:p w14:paraId="7AA3F1FD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- reti (vairāk nekā 1, bet mazāk nekā 10 dzīvniekiem no 10000 ārstētajiem dzīvniekiem);</w:t>
      </w:r>
    </w:p>
    <w:p w14:paraId="7E876D12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- ļoti reti (mazāk nekā 1 dzīvniekam no 10000 ārstētajiem dzīvniekiem, ieskaitot atsevišķus ziņojumus).</w:t>
      </w:r>
    </w:p>
    <w:p w14:paraId="2C70369D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7EBEE3D" w14:textId="4CE98BBC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Ja novērojat jebkuras blakusparādības</w:t>
      </w:r>
      <w:r w:rsidR="009F0D57">
        <w:rPr>
          <w:rFonts w:asciiTheme="majorBidi" w:hAnsiTheme="majorBidi" w:cstheme="majorBidi"/>
          <w:szCs w:val="24"/>
          <w:lang w:val="lv-LV"/>
        </w:rPr>
        <w:t>, arī tās, kas nav minētas šajā lietošanas instrukcijā,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vai </w:t>
      </w:r>
      <w:r w:rsidR="009F0D57">
        <w:rPr>
          <w:rFonts w:asciiTheme="majorBidi" w:hAnsiTheme="majorBidi" w:cstheme="majorBidi"/>
          <w:szCs w:val="24"/>
          <w:lang w:val="lv-LV"/>
        </w:rPr>
        <w:t>domājat, ka zāles nav iedarbojušās</w:t>
      </w:r>
      <w:r w:rsidRPr="00242AAA">
        <w:rPr>
          <w:rFonts w:asciiTheme="majorBidi" w:hAnsiTheme="majorBidi" w:cstheme="majorBidi"/>
          <w:szCs w:val="24"/>
          <w:lang w:val="lv-LV"/>
        </w:rPr>
        <w:t xml:space="preserve">, lūdzu, informējiet par </w:t>
      </w:r>
      <w:r w:rsidR="009F0D57">
        <w:rPr>
          <w:rFonts w:asciiTheme="majorBidi" w:hAnsiTheme="majorBidi" w:cstheme="majorBidi"/>
          <w:szCs w:val="24"/>
          <w:lang w:val="lv-LV"/>
        </w:rPr>
        <w:t>to</w:t>
      </w:r>
      <w:r w:rsidR="009F0D57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savu veterinārārstu.</w:t>
      </w:r>
    </w:p>
    <w:p w14:paraId="611F85C1" w14:textId="0A8D7446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FB26756" w14:textId="77777777" w:rsidR="005D6F70" w:rsidRPr="00242AAA" w:rsidRDefault="005D6F70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115B3706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7.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MĒRĶA SUGAS</w:t>
      </w:r>
    </w:p>
    <w:p w14:paraId="735AA8F5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7810BFA7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Zirgi, liellopi, cūkas, suņi</w:t>
      </w:r>
    </w:p>
    <w:p w14:paraId="3595653A" w14:textId="27CCAEF1" w:rsidR="006568A2" w:rsidRPr="00242AAA" w:rsidRDefault="00FD248A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0AA9E61A" wp14:editId="08C5D017">
            <wp:extent cx="944880" cy="723900"/>
            <wp:effectExtent l="0" t="0" r="7620" b="0"/>
            <wp:docPr id="5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C52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32ED329C" wp14:editId="63471875">
            <wp:extent cx="944880" cy="624840"/>
            <wp:effectExtent l="0" t="0" r="7620" b="3810"/>
            <wp:docPr id="6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C52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50BB693B" wp14:editId="5ABBBEA2">
            <wp:extent cx="922020" cy="525780"/>
            <wp:effectExtent l="0" t="0" r="0" b="7620"/>
            <wp:docPr id="7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40C0DF1D" wp14:editId="0ACE1D3C">
            <wp:extent cx="731520" cy="533400"/>
            <wp:effectExtent l="0" t="0" r="0" b="0"/>
            <wp:docPr id="8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929C7" w14:textId="2A333A24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A4A4023" w14:textId="77777777" w:rsidR="005D6F70" w:rsidRPr="00242AAA" w:rsidRDefault="005D6F70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5AA48A9D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8.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DEVAS ATKARĪBĀ NO DZĪVNIEKU SUGAS, LIETOŠANAS VEIDA UN METODES</w:t>
      </w:r>
    </w:p>
    <w:p w14:paraId="75668246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78A09E14" w14:textId="27FD67F6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bookmarkStart w:id="3" w:name="_Hlk509905604"/>
      <w:r w:rsidRPr="00242AAA">
        <w:rPr>
          <w:rFonts w:asciiTheme="majorBidi" w:hAnsiTheme="majorBidi" w:cstheme="majorBidi"/>
          <w:szCs w:val="24"/>
          <w:lang w:val="lv-LV"/>
        </w:rPr>
        <w:t>Zirgi</w:t>
      </w:r>
      <w:r w:rsidR="00A67751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>: lēnai intravenozai lietošanai</w:t>
      </w:r>
      <w:r w:rsidR="00A67751">
        <w:rPr>
          <w:rFonts w:asciiTheme="majorBidi" w:hAnsiTheme="majorBidi" w:cstheme="majorBidi"/>
          <w:szCs w:val="24"/>
          <w:lang w:val="lv-LV"/>
        </w:rPr>
        <w:t>.</w:t>
      </w:r>
    </w:p>
    <w:bookmarkEnd w:id="3"/>
    <w:p w14:paraId="44DD5FC6" w14:textId="37289904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Cūk</w:t>
      </w:r>
      <w:r w:rsidR="00A67751">
        <w:rPr>
          <w:rFonts w:asciiTheme="majorBidi" w:hAnsiTheme="majorBidi" w:cstheme="majorBidi"/>
          <w:szCs w:val="24"/>
          <w:lang w:val="lv-LV"/>
        </w:rPr>
        <w:t>ām</w:t>
      </w:r>
      <w:r w:rsidRPr="00242AAA">
        <w:rPr>
          <w:rFonts w:asciiTheme="majorBidi" w:hAnsiTheme="majorBidi" w:cstheme="majorBidi"/>
          <w:szCs w:val="24"/>
          <w:lang w:val="lv-LV"/>
        </w:rPr>
        <w:t>: lēnai intravenozai lietošanai vai intramuskulārai lietošanai</w:t>
      </w:r>
      <w:r w:rsidR="00A67751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7BB0082A" w14:textId="29273A75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Vienreizēja</w:t>
      </w:r>
      <w:r w:rsidR="00A67751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injekcija</w:t>
      </w:r>
      <w:r w:rsidR="00A67751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>, ievadot 20</w:t>
      </w:r>
      <w:r w:rsidRPr="00242AAA">
        <w:rPr>
          <w:rFonts w:asciiTheme="majorBidi" w:hAnsiTheme="majorBidi" w:cstheme="majorBidi"/>
          <w:szCs w:val="24"/>
          <w:lang w:val="lv-LV"/>
        </w:rPr>
        <w:noBreakHyphen/>
        <w:t>25 mg metamizola nātrija</w:t>
      </w:r>
      <w:r w:rsidR="00A67751">
        <w:rPr>
          <w:rFonts w:asciiTheme="majorBidi" w:hAnsiTheme="majorBidi" w:cstheme="majorBidi"/>
          <w:szCs w:val="24"/>
          <w:lang w:val="lv-LV"/>
        </w:rPr>
        <w:t xml:space="preserve"> sāls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monohidrāta/</w:t>
      </w:r>
      <w:r w:rsidR="00A67751" w:rsidRPr="00A67751">
        <w:rPr>
          <w:rFonts w:asciiTheme="majorBidi" w:hAnsiTheme="majorBidi" w:cstheme="majorBidi"/>
          <w:szCs w:val="24"/>
          <w:lang w:val="lv-LV"/>
        </w:rPr>
        <w:t xml:space="preserve"> </w:t>
      </w:r>
      <w:r w:rsidR="00A67751" w:rsidRPr="00A67751">
        <w:rPr>
          <w:rFonts w:ascii="Times New Roman" w:hAnsi="Times New Roman"/>
          <w:szCs w:val="24"/>
          <w:lang w:val="lv-LV"/>
        </w:rPr>
        <w:t xml:space="preserve">kg </w:t>
      </w:r>
      <w:r w:rsidRPr="00242AAA">
        <w:rPr>
          <w:rFonts w:asciiTheme="majorBidi" w:hAnsiTheme="majorBidi" w:cstheme="majorBidi"/>
          <w:szCs w:val="24"/>
          <w:lang w:val="lv-LV"/>
        </w:rPr>
        <w:t>ķermeņa sv</w:t>
      </w:r>
      <w:r w:rsidR="00A67751">
        <w:rPr>
          <w:rFonts w:asciiTheme="majorBidi" w:hAnsiTheme="majorBidi" w:cstheme="majorBidi"/>
          <w:szCs w:val="24"/>
          <w:lang w:val="lv-LV"/>
        </w:rPr>
        <w:t>ara</w:t>
      </w:r>
      <w:r w:rsidR="00A67751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un 0,16</w:t>
      </w:r>
      <w:r w:rsidRPr="00242AAA">
        <w:rPr>
          <w:rFonts w:asciiTheme="majorBidi" w:hAnsiTheme="majorBidi" w:cstheme="majorBidi"/>
          <w:szCs w:val="24"/>
          <w:lang w:val="lv-LV"/>
        </w:rPr>
        <w:noBreakHyphen/>
        <w:t>0,2 mg hioscīna butilbromīda/</w:t>
      </w:r>
      <w:r w:rsidR="00A67751" w:rsidRPr="00A67751">
        <w:rPr>
          <w:rFonts w:asciiTheme="majorBidi" w:hAnsiTheme="majorBidi" w:cstheme="majorBidi"/>
          <w:szCs w:val="24"/>
          <w:lang w:val="lv-LV"/>
        </w:rPr>
        <w:t xml:space="preserve"> </w:t>
      </w:r>
      <w:r w:rsidR="00A67751" w:rsidRPr="00A67751">
        <w:rPr>
          <w:rFonts w:ascii="Times New Roman" w:hAnsi="Times New Roman"/>
          <w:szCs w:val="24"/>
          <w:lang w:val="lv-LV"/>
        </w:rPr>
        <w:t xml:space="preserve">kg </w:t>
      </w:r>
      <w:r w:rsidRPr="00242AAA">
        <w:rPr>
          <w:rFonts w:asciiTheme="majorBidi" w:hAnsiTheme="majorBidi" w:cstheme="majorBidi"/>
          <w:szCs w:val="24"/>
          <w:lang w:val="lv-LV"/>
        </w:rPr>
        <w:t>ķermeņa sv</w:t>
      </w:r>
      <w:r w:rsidR="00A67751">
        <w:rPr>
          <w:rFonts w:asciiTheme="majorBidi" w:hAnsiTheme="majorBidi" w:cstheme="majorBidi"/>
          <w:szCs w:val="24"/>
          <w:lang w:val="lv-LV"/>
        </w:rPr>
        <w:t>ara,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t.i., 4</w:t>
      </w:r>
      <w:r w:rsidRPr="00242AAA">
        <w:rPr>
          <w:rFonts w:asciiTheme="majorBidi" w:hAnsiTheme="majorBidi" w:cstheme="majorBidi"/>
          <w:szCs w:val="24"/>
          <w:lang w:val="lv-LV"/>
        </w:rPr>
        <w:noBreakHyphen/>
        <w:t>5 ml uz 100 kg vienu reizi.</w:t>
      </w:r>
    </w:p>
    <w:p w14:paraId="2B364046" w14:textId="60FA5D6A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Cūkām </w:t>
      </w:r>
      <w:r w:rsidR="00A67751">
        <w:rPr>
          <w:rFonts w:asciiTheme="majorBidi" w:hAnsiTheme="majorBidi" w:cstheme="majorBidi"/>
          <w:szCs w:val="24"/>
          <w:lang w:val="lv-LV"/>
        </w:rPr>
        <w:t>neievadīt vairāk par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5 ml vienā injekcijas vietā.</w:t>
      </w:r>
    </w:p>
    <w:p w14:paraId="23798D92" w14:textId="0D8D196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Liellopi</w:t>
      </w:r>
      <w:r w:rsidR="00A67751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>: lēnai intravenozai lietošanai vai intramuskulārai lietošanai</w:t>
      </w:r>
      <w:r w:rsidR="00A67751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0938D35D" w14:textId="190C4586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Līdz divām reizēm dienā trīs dienas </w:t>
      </w:r>
      <w:r w:rsidR="00A67751">
        <w:rPr>
          <w:rFonts w:asciiTheme="majorBidi" w:hAnsiTheme="majorBidi" w:cstheme="majorBidi"/>
          <w:szCs w:val="24"/>
          <w:lang w:val="lv-LV"/>
        </w:rPr>
        <w:t>pēc kārtas</w:t>
      </w:r>
      <w:r w:rsidRPr="00242AAA">
        <w:rPr>
          <w:rFonts w:asciiTheme="majorBidi" w:hAnsiTheme="majorBidi" w:cstheme="majorBidi"/>
          <w:szCs w:val="24"/>
          <w:lang w:val="lv-LV"/>
        </w:rPr>
        <w:t>, ievadot 20</w:t>
      </w:r>
      <w:r w:rsidRPr="00242AAA">
        <w:rPr>
          <w:rFonts w:asciiTheme="majorBidi" w:hAnsiTheme="majorBidi" w:cstheme="majorBidi"/>
          <w:szCs w:val="24"/>
          <w:lang w:val="lv-LV"/>
        </w:rPr>
        <w:noBreakHyphen/>
        <w:t xml:space="preserve">25 mg metamizola nātrija </w:t>
      </w:r>
      <w:r w:rsidR="00510610">
        <w:rPr>
          <w:rFonts w:asciiTheme="majorBidi" w:hAnsiTheme="majorBidi" w:cstheme="majorBidi"/>
          <w:szCs w:val="24"/>
          <w:lang w:val="lv-LV"/>
        </w:rPr>
        <w:t xml:space="preserve">sāls </w:t>
      </w:r>
      <w:r w:rsidRPr="00242AAA">
        <w:rPr>
          <w:rFonts w:asciiTheme="majorBidi" w:hAnsiTheme="majorBidi" w:cstheme="majorBidi"/>
          <w:szCs w:val="24"/>
          <w:lang w:val="lv-LV"/>
        </w:rPr>
        <w:t>monohidrāta/</w:t>
      </w:r>
      <w:r w:rsidR="00510610" w:rsidRPr="00510610">
        <w:rPr>
          <w:rFonts w:asciiTheme="majorBidi" w:hAnsiTheme="majorBidi" w:cstheme="majorBidi"/>
          <w:szCs w:val="24"/>
          <w:lang w:val="lv-LV"/>
        </w:rPr>
        <w:t xml:space="preserve"> </w:t>
      </w:r>
      <w:r w:rsidR="00510610" w:rsidRPr="00510610">
        <w:rPr>
          <w:rFonts w:ascii="Times New Roman" w:hAnsi="Times New Roman"/>
          <w:szCs w:val="24"/>
          <w:lang w:val="lv-LV"/>
        </w:rPr>
        <w:t xml:space="preserve">kg </w:t>
      </w:r>
      <w:r w:rsidRPr="00242AAA">
        <w:rPr>
          <w:rFonts w:asciiTheme="majorBidi" w:hAnsiTheme="majorBidi" w:cstheme="majorBidi"/>
          <w:szCs w:val="24"/>
          <w:lang w:val="lv-LV"/>
        </w:rPr>
        <w:t>ķermeņa sv</w:t>
      </w:r>
      <w:r w:rsidR="00510610">
        <w:rPr>
          <w:rFonts w:asciiTheme="majorBidi" w:hAnsiTheme="majorBidi" w:cstheme="majorBidi"/>
          <w:szCs w:val="24"/>
          <w:lang w:val="lv-LV"/>
        </w:rPr>
        <w:t>ara</w:t>
      </w:r>
      <w:r w:rsidR="00510610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un 0,16</w:t>
      </w:r>
      <w:r w:rsidRPr="00242AAA">
        <w:rPr>
          <w:rFonts w:asciiTheme="majorBidi" w:hAnsiTheme="majorBidi" w:cstheme="majorBidi"/>
          <w:szCs w:val="24"/>
          <w:lang w:val="lv-LV"/>
        </w:rPr>
        <w:noBreakHyphen/>
        <w:t>0,2 mg hioscīna butilbromīda/</w:t>
      </w:r>
      <w:r w:rsidR="00510610" w:rsidRPr="00510610">
        <w:rPr>
          <w:rFonts w:asciiTheme="majorBidi" w:hAnsiTheme="majorBidi" w:cstheme="majorBidi"/>
          <w:szCs w:val="24"/>
          <w:lang w:val="lv-LV"/>
        </w:rPr>
        <w:t xml:space="preserve"> </w:t>
      </w:r>
      <w:r w:rsidR="00510610" w:rsidRPr="00510610">
        <w:rPr>
          <w:rFonts w:ascii="Times New Roman" w:hAnsi="Times New Roman"/>
          <w:szCs w:val="24"/>
          <w:lang w:val="lv-LV"/>
        </w:rPr>
        <w:t xml:space="preserve">kg </w:t>
      </w:r>
      <w:r w:rsidRPr="00242AAA">
        <w:rPr>
          <w:rFonts w:asciiTheme="majorBidi" w:hAnsiTheme="majorBidi" w:cstheme="majorBidi"/>
          <w:szCs w:val="24"/>
          <w:lang w:val="lv-LV"/>
        </w:rPr>
        <w:t>ķermeņa sv</w:t>
      </w:r>
      <w:r w:rsidR="00510610">
        <w:rPr>
          <w:rFonts w:asciiTheme="majorBidi" w:hAnsiTheme="majorBidi" w:cstheme="majorBidi"/>
          <w:szCs w:val="24"/>
          <w:lang w:val="lv-LV"/>
        </w:rPr>
        <w:t>ara</w:t>
      </w:r>
      <w:r w:rsidRPr="00242AAA">
        <w:rPr>
          <w:rFonts w:asciiTheme="majorBidi" w:hAnsiTheme="majorBidi" w:cstheme="majorBidi"/>
          <w:szCs w:val="24"/>
          <w:lang w:val="lv-LV"/>
        </w:rPr>
        <w:t>, t.i., 4</w:t>
      </w:r>
      <w:r w:rsidRPr="00242AAA">
        <w:rPr>
          <w:rFonts w:asciiTheme="majorBidi" w:hAnsiTheme="majorBidi" w:cstheme="majorBidi"/>
          <w:szCs w:val="24"/>
          <w:lang w:val="lv-LV"/>
        </w:rPr>
        <w:noBreakHyphen/>
        <w:t xml:space="preserve">5 ml uz 100 kg divas reizes dienā līdz trīs dienām </w:t>
      </w:r>
      <w:r w:rsidR="00510610">
        <w:rPr>
          <w:rFonts w:asciiTheme="majorBidi" w:hAnsiTheme="majorBidi" w:cstheme="majorBidi"/>
          <w:szCs w:val="24"/>
          <w:lang w:val="lv-LV"/>
        </w:rPr>
        <w:t>pēc kārtas</w:t>
      </w:r>
      <w:r w:rsidRPr="00242AAA">
        <w:rPr>
          <w:rFonts w:asciiTheme="majorBidi" w:hAnsiTheme="majorBidi" w:cstheme="majorBidi"/>
          <w:szCs w:val="24"/>
          <w:lang w:val="lv-LV"/>
        </w:rPr>
        <w:t>.</w:t>
      </w:r>
    </w:p>
    <w:p w14:paraId="64114889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0618A0FD" w14:textId="36A29266" w:rsidR="006568A2" w:rsidRPr="00242AAA" w:rsidRDefault="00D86C52" w:rsidP="00A113F8">
      <w:pPr>
        <w:keepNext/>
        <w:keepLines/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Suņi</w:t>
      </w:r>
      <w:r w:rsidR="00510610">
        <w:rPr>
          <w:rFonts w:asciiTheme="majorBidi" w:hAnsiTheme="majorBidi" w:cstheme="majorBidi"/>
          <w:szCs w:val="24"/>
          <w:lang w:val="lv-LV"/>
        </w:rPr>
        <w:t>em</w:t>
      </w:r>
      <w:r w:rsidRPr="00242AAA">
        <w:rPr>
          <w:rFonts w:asciiTheme="majorBidi" w:hAnsiTheme="majorBidi" w:cstheme="majorBidi"/>
          <w:szCs w:val="24"/>
          <w:lang w:val="lv-LV"/>
        </w:rPr>
        <w:t xml:space="preserve">: </w:t>
      </w:r>
      <w:r w:rsidR="009F0D57">
        <w:rPr>
          <w:rFonts w:asciiTheme="majorBidi" w:hAnsiTheme="majorBidi" w:cstheme="majorBidi"/>
          <w:szCs w:val="24"/>
          <w:lang w:val="lv-LV"/>
        </w:rPr>
        <w:t>lēnai</w:t>
      </w:r>
      <w:r w:rsidR="00510610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intravenozai vai intramuskulārai lietošanai. </w:t>
      </w:r>
    </w:p>
    <w:p w14:paraId="79E4CEFE" w14:textId="1EE53D77" w:rsidR="006568A2" w:rsidRPr="00242AAA" w:rsidRDefault="00D86C52" w:rsidP="00A113F8">
      <w:pPr>
        <w:keepNext/>
        <w:keepLines/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Vienreizēja</w:t>
      </w:r>
      <w:r w:rsidR="00510610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injekcija</w:t>
      </w:r>
      <w:r w:rsidR="00510610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>, ievadot 50 mg metamizola nātrija monohidrāta/</w:t>
      </w:r>
      <w:r w:rsidR="00510610" w:rsidRPr="00510610">
        <w:rPr>
          <w:rFonts w:asciiTheme="majorBidi" w:hAnsiTheme="majorBidi" w:cstheme="majorBidi"/>
          <w:szCs w:val="24"/>
          <w:lang w:val="lv-LV"/>
        </w:rPr>
        <w:t xml:space="preserve"> </w:t>
      </w:r>
      <w:r w:rsidR="00510610" w:rsidRPr="00510610">
        <w:rPr>
          <w:rFonts w:ascii="Times New Roman" w:hAnsi="Times New Roman"/>
          <w:szCs w:val="24"/>
          <w:lang w:val="lv-LV"/>
        </w:rPr>
        <w:t xml:space="preserve">kg </w:t>
      </w:r>
      <w:r w:rsidRPr="00242AAA">
        <w:rPr>
          <w:rFonts w:asciiTheme="majorBidi" w:hAnsiTheme="majorBidi" w:cstheme="majorBidi"/>
          <w:szCs w:val="24"/>
          <w:lang w:val="lv-LV"/>
        </w:rPr>
        <w:t>ķermeņa sv</w:t>
      </w:r>
      <w:r w:rsidR="00510610">
        <w:rPr>
          <w:rFonts w:asciiTheme="majorBidi" w:hAnsiTheme="majorBidi" w:cstheme="majorBidi"/>
          <w:szCs w:val="24"/>
          <w:lang w:val="lv-LV"/>
        </w:rPr>
        <w:t>ara</w:t>
      </w:r>
      <w:r w:rsidR="00510610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un 0,4 mg hioscīna butilbromīda/</w:t>
      </w:r>
      <w:r w:rsidR="00510610" w:rsidRPr="00510610">
        <w:rPr>
          <w:rFonts w:asciiTheme="majorBidi" w:hAnsiTheme="majorBidi" w:cstheme="majorBidi"/>
          <w:szCs w:val="24"/>
          <w:lang w:val="lv-LV"/>
        </w:rPr>
        <w:t xml:space="preserve"> </w:t>
      </w:r>
      <w:r w:rsidR="00510610" w:rsidRPr="00510610">
        <w:rPr>
          <w:rFonts w:ascii="Times New Roman" w:hAnsi="Times New Roman"/>
          <w:szCs w:val="24"/>
          <w:lang w:val="lv-LV"/>
        </w:rPr>
        <w:t xml:space="preserve">kg </w:t>
      </w:r>
      <w:r w:rsidRPr="00242AAA">
        <w:rPr>
          <w:rFonts w:asciiTheme="majorBidi" w:hAnsiTheme="majorBidi" w:cstheme="majorBidi"/>
          <w:szCs w:val="24"/>
          <w:lang w:val="lv-LV"/>
        </w:rPr>
        <w:t>ķermeņa sv</w:t>
      </w:r>
      <w:r w:rsidR="00510610">
        <w:rPr>
          <w:rFonts w:asciiTheme="majorBidi" w:hAnsiTheme="majorBidi" w:cstheme="majorBidi"/>
          <w:szCs w:val="24"/>
          <w:lang w:val="lv-LV"/>
        </w:rPr>
        <w:t>ara</w:t>
      </w:r>
      <w:r w:rsidRPr="00242AAA">
        <w:rPr>
          <w:rFonts w:asciiTheme="majorBidi" w:hAnsiTheme="majorBidi" w:cstheme="majorBidi"/>
          <w:szCs w:val="24"/>
          <w:lang w:val="lv-LV"/>
        </w:rPr>
        <w:t xml:space="preserve">, t.i., 0,5 ml uz 5 kg vienu reizi. </w:t>
      </w:r>
      <w:r w:rsidR="00510610">
        <w:rPr>
          <w:rFonts w:asciiTheme="majorBidi" w:hAnsiTheme="majorBidi" w:cstheme="majorBidi"/>
          <w:szCs w:val="24"/>
          <w:lang w:val="lv-LV"/>
        </w:rPr>
        <w:t>Ja nepieciešams, d</w:t>
      </w:r>
      <w:r w:rsidR="00510610" w:rsidRPr="00242AAA">
        <w:rPr>
          <w:rFonts w:asciiTheme="majorBidi" w:hAnsiTheme="majorBidi" w:cstheme="majorBidi"/>
          <w:szCs w:val="24"/>
          <w:lang w:val="lv-LV"/>
        </w:rPr>
        <w:t xml:space="preserve">evu </w:t>
      </w:r>
      <w:r w:rsidRPr="00242AAA">
        <w:rPr>
          <w:rFonts w:asciiTheme="majorBidi" w:hAnsiTheme="majorBidi" w:cstheme="majorBidi"/>
          <w:szCs w:val="24"/>
          <w:lang w:val="lv-LV"/>
        </w:rPr>
        <w:t>var atkārtoti ievadīt pēc 24 stundām</w:t>
      </w:r>
      <w:r w:rsidR="00510610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59E5D23E" w14:textId="77777777" w:rsidR="006568A2" w:rsidRPr="00A113F8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0BF8AFC" w14:textId="77777777" w:rsidR="006568A2" w:rsidRPr="00A113F8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F43C60E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9.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IETEIKUMI PAREIZAI LIETOŠANAI</w:t>
      </w:r>
    </w:p>
    <w:p w14:paraId="5611DF20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6A9B8E1" w14:textId="2EEEB629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Aizbāzni caurdurt </w:t>
      </w:r>
      <w:r w:rsidR="00510610">
        <w:rPr>
          <w:rFonts w:asciiTheme="majorBidi" w:hAnsiTheme="majorBidi" w:cstheme="majorBidi"/>
          <w:szCs w:val="24"/>
          <w:lang w:val="lv-LV"/>
        </w:rPr>
        <w:t xml:space="preserve">ne vairāk kā </w:t>
      </w:r>
      <w:r w:rsidRPr="00242AAA">
        <w:rPr>
          <w:rFonts w:asciiTheme="majorBidi" w:hAnsiTheme="majorBidi" w:cstheme="majorBidi"/>
          <w:szCs w:val="24"/>
          <w:lang w:val="lv-LV"/>
        </w:rPr>
        <w:t>25 reiz</w:t>
      </w:r>
      <w:r w:rsidR="00510610">
        <w:rPr>
          <w:rFonts w:asciiTheme="majorBidi" w:hAnsiTheme="majorBidi" w:cstheme="majorBidi"/>
          <w:szCs w:val="24"/>
          <w:lang w:val="lv-LV"/>
        </w:rPr>
        <w:t>es</w:t>
      </w:r>
      <w:r w:rsidRPr="00242AAA">
        <w:rPr>
          <w:rFonts w:asciiTheme="majorBidi" w:hAnsiTheme="majorBidi" w:cstheme="majorBidi"/>
          <w:szCs w:val="24"/>
          <w:lang w:val="lv-LV"/>
        </w:rPr>
        <w:t>.</w:t>
      </w:r>
    </w:p>
    <w:p w14:paraId="38263295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C6F435D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43781A55" w14:textId="15D72A80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10.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IEROBEŽOJUMU PERIOD</w:t>
      </w:r>
      <w:r w:rsidR="005D6F70">
        <w:rPr>
          <w:rFonts w:asciiTheme="majorBidi" w:hAnsiTheme="majorBidi" w:cstheme="majorBidi"/>
          <w:b/>
          <w:szCs w:val="24"/>
          <w:lang w:val="lv-LV"/>
        </w:rPr>
        <w:t>S</w:t>
      </w:r>
      <w:r w:rsidRPr="00242AAA">
        <w:rPr>
          <w:rFonts w:asciiTheme="majorBidi" w:hAnsiTheme="majorBidi" w:cstheme="majorBidi"/>
          <w:b/>
          <w:szCs w:val="24"/>
          <w:lang w:val="lv-LV"/>
        </w:rPr>
        <w:t xml:space="preserve"> DZĪVNIEKU PRODUKCIJAS IZMANTOŠANĀ</w:t>
      </w:r>
    </w:p>
    <w:p w14:paraId="7196F6A8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47818BAF" w14:textId="28CEAF1E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Liellopi</w:t>
      </w:r>
      <w:r w:rsidR="00510610">
        <w:rPr>
          <w:rFonts w:asciiTheme="majorBidi" w:hAnsiTheme="majorBidi" w:cstheme="majorBidi"/>
          <w:szCs w:val="24"/>
          <w:lang w:val="lv-LV"/>
        </w:rPr>
        <w:t>:</w:t>
      </w:r>
    </w:p>
    <w:p w14:paraId="4FD88DC4" w14:textId="1C20D855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18 dienas pēc intravenozas lietošanas</w:t>
      </w:r>
      <w:r w:rsidR="00510610">
        <w:rPr>
          <w:rFonts w:asciiTheme="majorBidi" w:hAnsiTheme="majorBidi" w:cstheme="majorBidi"/>
          <w:szCs w:val="24"/>
          <w:lang w:val="lv-LV"/>
        </w:rPr>
        <w:t>.</w:t>
      </w:r>
    </w:p>
    <w:p w14:paraId="41C38633" w14:textId="331804D4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28 dienas pēc intramuskulāras lietošanas</w:t>
      </w:r>
      <w:r w:rsidR="00510610">
        <w:rPr>
          <w:rFonts w:asciiTheme="majorBidi" w:hAnsiTheme="majorBidi" w:cstheme="majorBidi"/>
          <w:szCs w:val="24"/>
          <w:lang w:val="lv-LV"/>
        </w:rPr>
        <w:t>.</w:t>
      </w:r>
    </w:p>
    <w:p w14:paraId="05001EE2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Nav reģistrēts lietošanai dzīvniekiem, kuru pienu paredzēts izmantot cilvēku uzturā. </w:t>
      </w:r>
    </w:p>
    <w:p w14:paraId="70AD7B19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Nelietot grūsniem dzīvniekiem 2 mēnešus pirms gaidāmajām dzemdībām, ja šo dzīvnieku pienu paredzēts izmantot cilvēku uzturā.</w:t>
      </w:r>
    </w:p>
    <w:p w14:paraId="4A58545C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39A92504" w14:textId="3B7E0B96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Zirgi</w:t>
      </w:r>
      <w:r w:rsidR="00510610">
        <w:rPr>
          <w:rFonts w:asciiTheme="majorBidi" w:hAnsiTheme="majorBidi" w:cstheme="majorBidi"/>
          <w:szCs w:val="24"/>
          <w:lang w:val="lv-LV"/>
        </w:rPr>
        <w:t>: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</w:t>
      </w:r>
    </w:p>
    <w:p w14:paraId="28FDCAE5" w14:textId="6D8F59C6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15 dienas</w:t>
      </w:r>
      <w:r w:rsidR="00510610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2B5D6EC3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Nav reģistrēts lietošanai dzīvniekiem, kuru pienu paredzēts izmantot cilvēku uzturā. </w:t>
      </w:r>
    </w:p>
    <w:p w14:paraId="3A6EF1D4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Nelietot grūsniem dzīvniekiem 2 mēnešus pirms gaidāmajām dzemdībām, ja šo dzīvnieku pienu paredzēts izmantot cilvēku uzturā.</w:t>
      </w:r>
    </w:p>
    <w:p w14:paraId="4D401454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i/>
          <w:szCs w:val="24"/>
          <w:lang w:val="lv-LV"/>
        </w:rPr>
      </w:pPr>
    </w:p>
    <w:p w14:paraId="2E58AAD7" w14:textId="48D0E838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Cūkas</w:t>
      </w:r>
      <w:r w:rsidR="003365A5">
        <w:rPr>
          <w:rFonts w:asciiTheme="majorBidi" w:hAnsiTheme="majorBidi" w:cstheme="majorBidi"/>
          <w:szCs w:val="24"/>
          <w:lang w:val="lv-LV"/>
        </w:rPr>
        <w:t>:</w:t>
      </w:r>
    </w:p>
    <w:p w14:paraId="1A9EC928" w14:textId="11697A46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15 dienas</w:t>
      </w:r>
      <w:r w:rsidR="003365A5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5897CF35" w14:textId="77777777" w:rsidR="006568A2" w:rsidRPr="00A113F8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16847F50" w14:textId="77777777" w:rsidR="003365A5" w:rsidRPr="00A113F8" w:rsidRDefault="003365A5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52F50FA0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11.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ĪPAŠI UZGLABĀŠANAS NORĀDĪJUMI</w:t>
      </w:r>
    </w:p>
    <w:p w14:paraId="1E655221" w14:textId="77777777" w:rsidR="006568A2" w:rsidRPr="00242AAA" w:rsidRDefault="006568A2" w:rsidP="00A113F8">
      <w:pPr>
        <w:numPr>
          <w:ilvl w:val="12"/>
          <w:numId w:val="0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300C9022" w14:textId="77777777" w:rsidR="006568A2" w:rsidRPr="00242AAA" w:rsidRDefault="00D86C52" w:rsidP="00A113F8">
      <w:pPr>
        <w:numPr>
          <w:ilvl w:val="12"/>
          <w:numId w:val="0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Uzglabāt bērniem neredzamā un nepieejamā vietā.</w:t>
      </w:r>
    </w:p>
    <w:p w14:paraId="6D024184" w14:textId="77777777" w:rsidR="006568A2" w:rsidRPr="00242AAA" w:rsidRDefault="006568A2" w:rsidP="00A113F8">
      <w:pPr>
        <w:numPr>
          <w:ilvl w:val="12"/>
          <w:numId w:val="0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A9844A4" w14:textId="40A3ECE1" w:rsidR="006568A2" w:rsidRPr="00242AAA" w:rsidRDefault="00D86C52" w:rsidP="00A113F8">
      <w:pPr>
        <w:numPr>
          <w:ilvl w:val="12"/>
          <w:numId w:val="0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Pēc pirmās tiešā iepakojuma atvēršanas uzglabāt temperatūrā </w:t>
      </w:r>
      <w:r w:rsidR="003365A5">
        <w:rPr>
          <w:rFonts w:asciiTheme="majorBidi" w:hAnsiTheme="majorBidi" w:cstheme="majorBidi"/>
          <w:szCs w:val="24"/>
          <w:lang w:val="lv-LV"/>
        </w:rPr>
        <w:t>līdz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25</w:t>
      </w:r>
      <w:r w:rsidR="005D6F70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°C.</w:t>
      </w:r>
    </w:p>
    <w:p w14:paraId="0E8DF969" w14:textId="77777777" w:rsidR="006568A2" w:rsidRPr="00242AAA" w:rsidRDefault="00D86C52" w:rsidP="00A113F8">
      <w:pPr>
        <w:numPr>
          <w:ilvl w:val="12"/>
          <w:numId w:val="0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Nelietot šīs veterinārās zāles, ja beidzies derīguma termiņš, kas norādīts uz iepakojuma pēc EXP. Derīguma termiņš attiecināms uz mēneša pēdējo dienu.</w:t>
      </w:r>
    </w:p>
    <w:p w14:paraId="77A5DC9A" w14:textId="0A90B875" w:rsidR="006568A2" w:rsidRPr="00242AAA" w:rsidRDefault="00D86C52" w:rsidP="00A113F8">
      <w:pPr>
        <w:numPr>
          <w:ilvl w:val="12"/>
          <w:numId w:val="0"/>
        </w:num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Derīguma termiņš pēc pirmās </w:t>
      </w:r>
      <w:r w:rsidR="003365A5">
        <w:rPr>
          <w:rFonts w:asciiTheme="majorBidi" w:hAnsiTheme="majorBidi" w:cstheme="majorBidi"/>
          <w:szCs w:val="24"/>
          <w:lang w:val="lv-LV"/>
        </w:rPr>
        <w:t>tiešā iepakojuma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atvēršanas: 28 dienas</w:t>
      </w:r>
      <w:r w:rsidR="003365A5">
        <w:rPr>
          <w:rFonts w:asciiTheme="majorBidi" w:hAnsiTheme="majorBidi" w:cstheme="majorBidi"/>
          <w:szCs w:val="24"/>
          <w:lang w:val="lv-LV"/>
        </w:rPr>
        <w:t>.</w:t>
      </w:r>
    </w:p>
    <w:p w14:paraId="310CE746" w14:textId="77777777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3BAFB85" w14:textId="77777777" w:rsidR="003365A5" w:rsidRPr="00242AAA" w:rsidRDefault="003365A5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57112E7D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12.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ĪPAŠI BRĪDINĀJUMI</w:t>
      </w:r>
    </w:p>
    <w:p w14:paraId="493144E1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22C52EB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Īpaši piesardzības pasākumi, lietojot dzīvniekiem</w:t>
      </w:r>
      <w:r w:rsidRPr="00242AAA">
        <w:rPr>
          <w:rFonts w:asciiTheme="majorBidi" w:hAnsiTheme="majorBidi" w:cstheme="majorBidi"/>
          <w:szCs w:val="24"/>
          <w:lang w:val="lv-LV"/>
        </w:rPr>
        <w:t>:</w:t>
      </w:r>
    </w:p>
    <w:p w14:paraId="7975B96A" w14:textId="78C6BE0A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Anafilaktiskā šoka riska dēļ metamizolu saturoš</w:t>
      </w:r>
      <w:r w:rsidR="003365A5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šķīdum</w:t>
      </w:r>
      <w:r w:rsidR="003365A5">
        <w:rPr>
          <w:rFonts w:asciiTheme="majorBidi" w:hAnsiTheme="majorBidi" w:cstheme="majorBidi"/>
          <w:szCs w:val="24"/>
          <w:lang w:val="lv-LV"/>
        </w:rPr>
        <w:t>i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intravenozas </w:t>
      </w:r>
      <w:r w:rsidR="003365A5">
        <w:rPr>
          <w:rFonts w:asciiTheme="majorBidi" w:hAnsiTheme="majorBidi" w:cstheme="majorBidi"/>
          <w:szCs w:val="24"/>
          <w:lang w:val="lv-LV"/>
        </w:rPr>
        <w:t>lietošanas gadījumā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jāievada lēni.</w:t>
      </w:r>
    </w:p>
    <w:p w14:paraId="3457129E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B721297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Īpaši piesardzības pasākumi, kas jāievēro personai, kura lieto veterinārās zāles dzīvnieku ārstēšanai</w:t>
      </w:r>
      <w:r w:rsidRPr="00242AAA">
        <w:rPr>
          <w:rFonts w:asciiTheme="majorBidi" w:hAnsiTheme="majorBidi" w:cstheme="majorBidi"/>
          <w:szCs w:val="24"/>
          <w:lang w:val="lv-LV"/>
        </w:rPr>
        <w:t>:</w:t>
      </w:r>
    </w:p>
    <w:p w14:paraId="323FE081" w14:textId="12AC420F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Ļoti </w:t>
      </w:r>
      <w:r w:rsidR="003365A5">
        <w:rPr>
          <w:rFonts w:asciiTheme="majorBidi" w:hAnsiTheme="majorBidi" w:cstheme="majorBidi"/>
          <w:szCs w:val="24"/>
          <w:lang w:val="lv-LV"/>
        </w:rPr>
        <w:t>mazam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="003365A5" w:rsidRPr="003365A5">
        <w:rPr>
          <w:rFonts w:ascii="Times New Roman" w:hAnsi="Times New Roman"/>
          <w:szCs w:val="24"/>
          <w:lang w:val="lv-LV"/>
        </w:rPr>
        <w:t xml:space="preserve">cilvēku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skaitam metamizols var izraisīt atgriezenisku, bet iespējami </w:t>
      </w:r>
      <w:r w:rsidR="003365A5">
        <w:rPr>
          <w:rFonts w:asciiTheme="majorBidi" w:hAnsiTheme="majorBidi" w:cstheme="majorBidi"/>
          <w:szCs w:val="24"/>
          <w:lang w:val="lv-LV"/>
        </w:rPr>
        <w:t>nopietnu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agranulocitozi un citas reakcijas, piemēram, ādas alerģiju. </w:t>
      </w:r>
      <w:r w:rsidR="003365A5">
        <w:rPr>
          <w:rFonts w:asciiTheme="majorBidi" w:hAnsiTheme="majorBidi" w:cstheme="majorBidi"/>
          <w:szCs w:val="24"/>
          <w:lang w:val="lv-LV"/>
        </w:rPr>
        <w:t>Ievērojiet piesardzību</w:t>
      </w:r>
      <w:r w:rsidRPr="00242AAA">
        <w:rPr>
          <w:rFonts w:asciiTheme="majorBidi" w:hAnsiTheme="majorBidi" w:cstheme="majorBidi"/>
          <w:szCs w:val="24"/>
          <w:lang w:val="lv-LV"/>
        </w:rPr>
        <w:t>, lai izvairītos no pašinjicēšanas.</w:t>
      </w:r>
    </w:p>
    <w:p w14:paraId="579490CD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Ja notikusi nejauša (gadījuma rakstura) pašinjicēšana, nekavējoties meklēt medicīnisko palīdzību un uzrādīt lietošanas instrukciju vai iepakojuma marķējumu ārstam.</w:t>
      </w:r>
    </w:p>
    <w:p w14:paraId="7983DD70" w14:textId="39F7639E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Izvairīties no</w:t>
      </w:r>
      <w:r w:rsidR="003365A5">
        <w:rPr>
          <w:rFonts w:asciiTheme="majorBidi" w:hAnsiTheme="majorBidi" w:cstheme="majorBidi"/>
          <w:szCs w:val="24"/>
          <w:lang w:val="lv-LV"/>
        </w:rPr>
        <w:t xml:space="preserve"> zāļu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saskares ar ādu un acīm. Personām ar zināmu pastiprinātu jutību pret metamizolu vai hioscīna butilbromīdu vajadzētu izvairīties no saskares ar šīm veterinārajām zālēm. Izvair</w:t>
      </w:r>
      <w:r w:rsidR="003365A5">
        <w:rPr>
          <w:rFonts w:asciiTheme="majorBidi" w:hAnsiTheme="majorBidi" w:cstheme="majorBidi"/>
          <w:szCs w:val="24"/>
          <w:lang w:val="lv-LV"/>
        </w:rPr>
        <w:t>ie</w:t>
      </w:r>
      <w:r w:rsidRPr="00242AAA">
        <w:rPr>
          <w:rFonts w:asciiTheme="majorBidi" w:hAnsiTheme="majorBidi" w:cstheme="majorBidi"/>
          <w:szCs w:val="24"/>
          <w:lang w:val="lv-LV"/>
        </w:rPr>
        <w:t xml:space="preserve">ties no saskares ar </w:t>
      </w:r>
      <w:r w:rsidR="003365A5">
        <w:rPr>
          <w:rFonts w:asciiTheme="majorBidi" w:hAnsiTheme="majorBidi" w:cstheme="majorBidi"/>
          <w:szCs w:val="24"/>
          <w:lang w:val="lv-LV"/>
        </w:rPr>
        <w:t xml:space="preserve">šīm veterinārajām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zālēm, ja </w:t>
      </w:r>
      <w:r w:rsidR="003365A5">
        <w:rPr>
          <w:rFonts w:asciiTheme="majorBidi" w:hAnsiTheme="majorBidi" w:cstheme="majorBidi"/>
          <w:szCs w:val="24"/>
          <w:lang w:val="lv-LV"/>
        </w:rPr>
        <w:t>j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ums </w:t>
      </w:r>
      <w:r w:rsidRPr="00242AAA">
        <w:rPr>
          <w:rFonts w:asciiTheme="majorBidi" w:hAnsiTheme="majorBidi" w:cstheme="majorBidi"/>
          <w:szCs w:val="24"/>
          <w:lang w:val="lv-LV"/>
        </w:rPr>
        <w:t>ir pastiprināta jutība pret pirazoloniem vai acetilsalicilskābi.</w:t>
      </w:r>
    </w:p>
    <w:p w14:paraId="52D31124" w14:textId="62B5770B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Nekavējoties nomazgā</w:t>
      </w:r>
      <w:r w:rsidR="003365A5">
        <w:rPr>
          <w:rFonts w:asciiTheme="majorBidi" w:hAnsiTheme="majorBidi" w:cstheme="majorBidi"/>
          <w:szCs w:val="24"/>
          <w:lang w:val="lv-LV"/>
        </w:rPr>
        <w:t>jie</w:t>
      </w:r>
      <w:r w:rsidRPr="00242AAA">
        <w:rPr>
          <w:rFonts w:asciiTheme="majorBidi" w:hAnsiTheme="majorBidi" w:cstheme="majorBidi"/>
          <w:szCs w:val="24"/>
          <w:lang w:val="lv-LV"/>
        </w:rPr>
        <w:t xml:space="preserve">t </w:t>
      </w:r>
      <w:r w:rsidR="003365A5">
        <w:rPr>
          <w:rFonts w:asciiTheme="majorBidi" w:hAnsiTheme="majorBidi" w:cstheme="majorBidi"/>
          <w:szCs w:val="24"/>
          <w:lang w:val="lv-LV"/>
        </w:rPr>
        <w:t>uz ādas vai acīs nonākušās zāles</w:t>
      </w:r>
      <w:r w:rsidRPr="00242AAA">
        <w:rPr>
          <w:rFonts w:asciiTheme="majorBidi" w:hAnsiTheme="majorBidi" w:cstheme="majorBidi"/>
          <w:szCs w:val="24"/>
          <w:lang w:val="lv-LV"/>
        </w:rPr>
        <w:t>.</w:t>
      </w:r>
    </w:p>
    <w:p w14:paraId="06456ADF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3021A9DB" w14:textId="77777777" w:rsidR="006568A2" w:rsidRPr="00242AAA" w:rsidRDefault="00D86C52" w:rsidP="00A113F8">
      <w:pPr>
        <w:keepNext/>
        <w:keepLines/>
        <w:spacing w:after="0" w:line="240" w:lineRule="auto"/>
        <w:jc w:val="both"/>
        <w:rPr>
          <w:rFonts w:asciiTheme="majorBidi" w:hAnsiTheme="majorBidi" w:cstheme="majorBidi"/>
          <w:szCs w:val="24"/>
          <w:u w:val="single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Grūsnība un laktācija:</w:t>
      </w:r>
    </w:p>
    <w:p w14:paraId="167DFCEB" w14:textId="7A862300" w:rsidR="006568A2" w:rsidRPr="00242AAA" w:rsidRDefault="00D86C52" w:rsidP="00A113F8">
      <w:pPr>
        <w:keepNext/>
        <w:keepLines/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Pētījumos laboratorijas dzīvniekiem (truši, žurkas) teratogēna iedarbība</w:t>
      </w:r>
      <w:r w:rsidR="003365A5" w:rsidRPr="003365A5">
        <w:rPr>
          <w:rFonts w:asciiTheme="majorBidi" w:hAnsiTheme="majorBidi" w:cstheme="majorBidi"/>
          <w:szCs w:val="24"/>
          <w:lang w:val="lv-LV"/>
        </w:rPr>
        <w:t xml:space="preserve"> </w:t>
      </w:r>
      <w:r w:rsidR="003365A5" w:rsidRPr="003365A5">
        <w:rPr>
          <w:rFonts w:ascii="Times New Roman" w:hAnsi="Times New Roman"/>
          <w:szCs w:val="24"/>
          <w:lang w:val="lv-LV"/>
        </w:rPr>
        <w:t>n</w:t>
      </w:r>
      <w:r w:rsidR="003365A5">
        <w:rPr>
          <w:rFonts w:ascii="Times New Roman" w:hAnsi="Times New Roman"/>
          <w:szCs w:val="24"/>
          <w:lang w:val="lv-LV"/>
        </w:rPr>
        <w:t xml:space="preserve">etika </w:t>
      </w:r>
      <w:r w:rsidR="003365A5" w:rsidRPr="003365A5">
        <w:rPr>
          <w:rFonts w:ascii="Times New Roman" w:hAnsi="Times New Roman"/>
          <w:szCs w:val="24"/>
          <w:lang w:val="lv-LV"/>
        </w:rPr>
        <w:t>konstatēta</w:t>
      </w:r>
      <w:r w:rsidRPr="00242AAA">
        <w:rPr>
          <w:rFonts w:asciiTheme="majorBidi" w:hAnsiTheme="majorBidi" w:cstheme="majorBidi"/>
          <w:szCs w:val="24"/>
          <w:lang w:val="lv-LV"/>
        </w:rPr>
        <w:t xml:space="preserve">. Informācija par lietošanu mērķa sugām grūsnības laikā nav pieejama. Metamizola metabolīti šķērso placentāro barjeru un izdalās pienā. </w:t>
      </w:r>
      <w:r w:rsidR="003365A5">
        <w:rPr>
          <w:rFonts w:asciiTheme="majorBidi" w:hAnsiTheme="majorBidi" w:cstheme="majorBidi"/>
          <w:szCs w:val="24"/>
          <w:lang w:val="lv-LV"/>
        </w:rPr>
        <w:t>Tādēļ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šīs veterinārās zāles</w:t>
      </w:r>
      <w:r w:rsidR="003365A5">
        <w:rPr>
          <w:rFonts w:asciiTheme="majorBidi" w:hAnsiTheme="majorBidi" w:cstheme="majorBidi"/>
          <w:szCs w:val="24"/>
          <w:lang w:val="lv-LV"/>
        </w:rPr>
        <w:t xml:space="preserve"> drīkst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lietot tikai pēc ārstējošā veterinārārsta ieguvuma un riska attiecības izvērtēšanas.</w:t>
      </w:r>
    </w:p>
    <w:p w14:paraId="7A5C8C59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4B812F63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Mijiedarbība ar citām zālēm un citi mijiedarbības veidi:</w:t>
      </w:r>
    </w:p>
    <w:p w14:paraId="3603C8F3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Metamizola un/vai hioscīna butilbromīda iedarbību var pastiprināt vienlaicīga citu antiholīnerģisku vai pretsāpju līdzekļu lietošana.</w:t>
      </w:r>
    </w:p>
    <w:p w14:paraId="4A40DFE7" w14:textId="5F32F212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Vienlaicīga aknu mikrosomu enzīmu induktoru (piem., barbiturātu, fenilbutazona) lietošana </w:t>
      </w:r>
      <w:r w:rsidR="003365A5" w:rsidRPr="00242AAA">
        <w:rPr>
          <w:rFonts w:asciiTheme="majorBidi" w:hAnsiTheme="majorBidi" w:cstheme="majorBidi"/>
          <w:szCs w:val="24"/>
          <w:lang w:val="lv-LV"/>
        </w:rPr>
        <w:t>sa</w:t>
      </w:r>
      <w:r w:rsidR="003365A5">
        <w:rPr>
          <w:rFonts w:asciiTheme="majorBidi" w:hAnsiTheme="majorBidi" w:cstheme="majorBidi"/>
          <w:szCs w:val="24"/>
          <w:lang w:val="lv-LV"/>
        </w:rPr>
        <w:t>īsin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a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eliminācijas pusperiodu un </w:t>
      </w:r>
      <w:r w:rsidR="003365A5">
        <w:rPr>
          <w:rFonts w:asciiTheme="majorBidi" w:hAnsiTheme="majorBidi" w:cstheme="majorBidi"/>
          <w:szCs w:val="24"/>
          <w:lang w:val="lv-LV"/>
        </w:rPr>
        <w:t>līdz ar to arī</w:t>
      </w:r>
      <w:r w:rsidR="003365A5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metamizola darbības </w:t>
      </w:r>
      <w:r w:rsidR="003365A5">
        <w:rPr>
          <w:rFonts w:asciiTheme="majorBidi" w:hAnsiTheme="majorBidi" w:cstheme="majorBidi"/>
          <w:szCs w:val="24"/>
          <w:lang w:val="lv-LV"/>
        </w:rPr>
        <w:t>ilgumu</w:t>
      </w:r>
      <w:r w:rsidRPr="00242AAA">
        <w:rPr>
          <w:rFonts w:asciiTheme="majorBidi" w:hAnsiTheme="majorBidi" w:cstheme="majorBidi"/>
          <w:szCs w:val="24"/>
          <w:lang w:val="lv-LV"/>
        </w:rPr>
        <w:t xml:space="preserve">. Vienlaicīga neiroleptisku līdzekļu, it īpaši fenotiazīna atvasinājumu lietošana var izraisīt smagu hipotermiju. Turklāt </w:t>
      </w:r>
      <w:r w:rsidR="003365A5">
        <w:rPr>
          <w:rFonts w:asciiTheme="majorBidi" w:hAnsiTheme="majorBidi" w:cstheme="majorBidi"/>
          <w:szCs w:val="24"/>
          <w:lang w:val="lv-LV"/>
        </w:rPr>
        <w:t>kuņģa</w:t>
      </w:r>
      <w:r w:rsidR="003365A5">
        <w:rPr>
          <w:rFonts w:asciiTheme="majorBidi" w:hAnsiTheme="majorBidi" w:cstheme="majorBidi"/>
          <w:szCs w:val="24"/>
          <w:lang w:val="lv-LV"/>
        </w:rPr>
        <w:noBreakHyphen/>
        <w:t xml:space="preserve">zarnu trakta asiņošanas risku palielina </w:t>
      </w:r>
      <w:r w:rsidRPr="00242AAA">
        <w:rPr>
          <w:rFonts w:asciiTheme="majorBidi" w:hAnsiTheme="majorBidi" w:cstheme="majorBidi"/>
          <w:szCs w:val="24"/>
          <w:lang w:val="lv-LV"/>
        </w:rPr>
        <w:t>vienlaicīga glikokortikosteroīdu lietošana</w:t>
      </w:r>
      <w:r w:rsidR="00EF0E77">
        <w:rPr>
          <w:rFonts w:asciiTheme="majorBidi" w:hAnsiTheme="majorBidi" w:cstheme="majorBidi"/>
          <w:szCs w:val="24"/>
          <w:lang w:val="lv-LV"/>
        </w:rPr>
        <w:t>.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 </w:t>
      </w:r>
      <w:r w:rsidR="00EF0E77">
        <w:rPr>
          <w:rFonts w:asciiTheme="majorBidi" w:hAnsiTheme="majorBidi" w:cstheme="majorBidi"/>
          <w:szCs w:val="24"/>
          <w:lang w:val="lv-LV"/>
        </w:rPr>
        <w:t>F</w:t>
      </w:r>
      <w:r w:rsidR="00EF0E77" w:rsidRPr="00242AAA">
        <w:rPr>
          <w:rFonts w:asciiTheme="majorBidi" w:hAnsiTheme="majorBidi" w:cstheme="majorBidi"/>
          <w:szCs w:val="24"/>
          <w:lang w:val="lv-LV"/>
        </w:rPr>
        <w:t xml:space="preserve">urosemīda </w:t>
      </w:r>
      <w:r w:rsidRPr="00242AAA">
        <w:rPr>
          <w:rFonts w:asciiTheme="majorBidi" w:hAnsiTheme="majorBidi" w:cstheme="majorBidi"/>
          <w:szCs w:val="24"/>
          <w:lang w:val="lv-LV"/>
        </w:rPr>
        <w:t>diurētiskā iedarbība</w:t>
      </w:r>
      <w:r w:rsidR="00EF0E77">
        <w:rPr>
          <w:rFonts w:asciiTheme="majorBidi" w:hAnsiTheme="majorBidi" w:cstheme="majorBidi"/>
          <w:szCs w:val="24"/>
          <w:lang w:val="lv-LV"/>
        </w:rPr>
        <w:t xml:space="preserve"> tiek </w:t>
      </w:r>
      <w:r w:rsidR="00EF0E77">
        <w:rPr>
          <w:rFonts w:ascii="Times New Roman" w:hAnsi="Times New Roman"/>
          <w:szCs w:val="24"/>
          <w:lang w:val="lv-LV"/>
        </w:rPr>
        <w:t>p</w:t>
      </w:r>
      <w:r w:rsidR="00EF0E77" w:rsidRPr="00EF0E77">
        <w:rPr>
          <w:rFonts w:ascii="Times New Roman" w:hAnsi="Times New Roman"/>
          <w:szCs w:val="24"/>
          <w:lang w:val="lv-LV"/>
        </w:rPr>
        <w:t>avājinā</w:t>
      </w:r>
      <w:r w:rsidR="00EF0E77">
        <w:rPr>
          <w:rFonts w:ascii="Times New Roman" w:hAnsi="Times New Roman"/>
          <w:szCs w:val="24"/>
          <w:lang w:val="lv-LV"/>
        </w:rPr>
        <w:t>ta</w:t>
      </w:r>
      <w:r w:rsidRPr="00242AAA">
        <w:rPr>
          <w:rFonts w:asciiTheme="majorBidi" w:hAnsiTheme="majorBidi" w:cstheme="majorBidi"/>
          <w:szCs w:val="24"/>
          <w:lang w:val="lv-LV"/>
        </w:rPr>
        <w:t>.</w:t>
      </w:r>
    </w:p>
    <w:p w14:paraId="35DA81A7" w14:textId="407D8118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Vienlaicīga citu vāju pretsāpju līdzekļu lietošana </w:t>
      </w:r>
      <w:r w:rsidR="00EF0E77" w:rsidRPr="00242AAA">
        <w:rPr>
          <w:rFonts w:asciiTheme="majorBidi" w:hAnsiTheme="majorBidi" w:cstheme="majorBidi"/>
          <w:szCs w:val="24"/>
          <w:lang w:val="lv-LV"/>
        </w:rPr>
        <w:t>pa</w:t>
      </w:r>
      <w:r w:rsidR="00EF0E77">
        <w:rPr>
          <w:rFonts w:asciiTheme="majorBidi" w:hAnsiTheme="majorBidi" w:cstheme="majorBidi"/>
          <w:szCs w:val="24"/>
          <w:lang w:val="lv-LV"/>
        </w:rPr>
        <w:t>stiprina</w:t>
      </w:r>
      <w:r w:rsidR="00EF0E77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metamizola iedarbību un blakusparādību biežumu.</w:t>
      </w:r>
    </w:p>
    <w:p w14:paraId="1AACAA41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Šīs veterinārās zāles var pastiprināt hinidīna un antihistamīna līdzekļu antiholīnerģisko iedarbību, kā arī β simpatomimētisko līdzekļu izraisīto tahikardiju.</w:t>
      </w:r>
    </w:p>
    <w:p w14:paraId="6D0C3722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08AC040C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Pārdozēšana (simptomi, rīcība ārkārtas situācijā, antidoti)</w:t>
      </w:r>
      <w:r w:rsidRPr="00242AAA">
        <w:rPr>
          <w:rFonts w:asciiTheme="majorBidi" w:hAnsiTheme="majorBidi" w:cstheme="majorBidi"/>
          <w:szCs w:val="24"/>
          <w:lang w:val="lv-LV"/>
        </w:rPr>
        <w:t>:</w:t>
      </w:r>
    </w:p>
    <w:p w14:paraId="4A23FB07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Pārdozēšanas gadījumā var rasties atropīna intoksikācijai raksturīgie simptomi (gļotādu sausums, midriāze, tahikardija) hioscīna butilbromīda parasimpatolītiskās aktivitātes dēļ.</w:t>
      </w:r>
    </w:p>
    <w:p w14:paraId="61621DFF" w14:textId="06F9A12D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Pārdozēšanas gadījumā </w:t>
      </w:r>
      <w:r w:rsidR="00EF0E77">
        <w:rPr>
          <w:rFonts w:asciiTheme="majorBidi" w:hAnsiTheme="majorBidi" w:cstheme="majorBidi"/>
          <w:szCs w:val="24"/>
          <w:lang w:val="lv-LV"/>
        </w:rPr>
        <w:t>zāļu ievadīšana ir</w:t>
      </w:r>
      <w:r w:rsidR="00EF0E77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 xml:space="preserve">jāpārtrauc. Kā hioscīna butilbromīda antidotus ieteicams lietot parasimpatomimētiskos līdzekļus, piemēram, fizostigmīnu un neostigmīnu. Specifisks metamizola nātrija </w:t>
      </w:r>
      <w:r w:rsidR="00EF0E77">
        <w:rPr>
          <w:rFonts w:asciiTheme="majorBidi" w:hAnsiTheme="majorBidi" w:cstheme="majorBidi"/>
          <w:szCs w:val="24"/>
          <w:lang w:val="lv-LV"/>
        </w:rPr>
        <w:t xml:space="preserve">sāls </w:t>
      </w:r>
      <w:r w:rsidR="00EF0E77" w:rsidRPr="00EF0E77">
        <w:rPr>
          <w:rFonts w:ascii="Times New Roman" w:hAnsi="Times New Roman"/>
          <w:szCs w:val="24"/>
          <w:lang w:val="lv-LV"/>
        </w:rPr>
        <w:t xml:space="preserve">antidots </w:t>
      </w:r>
      <w:r w:rsidRPr="00242AAA">
        <w:rPr>
          <w:rFonts w:asciiTheme="majorBidi" w:hAnsiTheme="majorBidi" w:cstheme="majorBidi"/>
          <w:szCs w:val="24"/>
          <w:lang w:val="lv-LV"/>
        </w:rPr>
        <w:t>nav pieejams. Tāpēc pārdozēšanas gadījumā jāsāk simptomātiska ārstēšana.</w:t>
      </w:r>
    </w:p>
    <w:p w14:paraId="0C25B368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1D60423F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u w:val="single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Nesaderība:</w:t>
      </w:r>
    </w:p>
    <w:p w14:paraId="10DA3DD6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Tā kā nav veikti saderības pētījumi, šīs veterinārās zāles nedrīkst lietot maisījumā ar citām veterinārajām zālēm.</w:t>
      </w:r>
    </w:p>
    <w:p w14:paraId="1F82F124" w14:textId="260CF769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5A7C3ABB" w14:textId="77777777" w:rsidR="00D55010" w:rsidRPr="00242AAA" w:rsidRDefault="00D55010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7D69C6F8" w14:textId="77777777" w:rsidR="006568A2" w:rsidRPr="00242AAA" w:rsidRDefault="00D86C52" w:rsidP="00A113F8">
      <w:pPr>
        <w:keepNext/>
        <w:spacing w:after="0" w:line="240" w:lineRule="auto"/>
        <w:ind w:left="567" w:hanging="567"/>
        <w:jc w:val="both"/>
        <w:rPr>
          <w:rFonts w:asciiTheme="majorBidi" w:hAnsiTheme="majorBidi" w:cstheme="majorBidi"/>
          <w:b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13.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ĪPAŠI NORĀDĪJUMI NEIZLIETOTU VETERINĀRO ZĀĻU VAI TO ATKRITUMU IZNĪCINĀŠANAI</w:t>
      </w:r>
    </w:p>
    <w:p w14:paraId="5E031094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369FDA9A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Jebkuras neizlietotas veterinārās zāles vai to atkritumi jāiznīcina saskaņā ar nacionālajiem tiesību aktiem.</w:t>
      </w:r>
    </w:p>
    <w:p w14:paraId="2D9221CF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5A27D033" w14:textId="77777777" w:rsidR="006568A2" w:rsidRPr="00242AAA" w:rsidRDefault="00D86C52" w:rsidP="00A113F8">
      <w:pPr>
        <w:spacing w:after="0" w:line="240" w:lineRule="auto"/>
        <w:ind w:left="567" w:hanging="567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14.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DATUMS, KAD LIETOŠANAS INSTRUKCIJA PĒDĒJO REIZI TIKA APSTIPRINĀTA</w:t>
      </w:r>
    </w:p>
    <w:p w14:paraId="446B11BD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5A945800" w14:textId="3B180CB8" w:rsidR="006568A2" w:rsidRPr="00242AAA" w:rsidRDefault="00CA4439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szCs w:val="24"/>
          <w:lang w:val="lv-LV"/>
        </w:rPr>
        <w:t>0</w:t>
      </w:r>
      <w:r w:rsidR="009F0D57">
        <w:rPr>
          <w:rFonts w:asciiTheme="majorBidi" w:hAnsiTheme="majorBidi" w:cstheme="majorBidi"/>
          <w:szCs w:val="24"/>
          <w:lang w:val="lv-LV"/>
        </w:rPr>
        <w:t>6</w:t>
      </w:r>
      <w:r>
        <w:rPr>
          <w:rFonts w:asciiTheme="majorBidi" w:hAnsiTheme="majorBidi" w:cstheme="majorBidi"/>
          <w:szCs w:val="24"/>
          <w:lang w:val="lv-LV"/>
        </w:rPr>
        <w:t>/2020</w:t>
      </w:r>
    </w:p>
    <w:p w14:paraId="0800D7C3" w14:textId="77777777" w:rsidR="006568A2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7D1B21D3" w14:textId="77777777" w:rsidR="00EF0E77" w:rsidRPr="00242AAA" w:rsidRDefault="00EF0E77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3620C90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6E0775">
        <w:rPr>
          <w:rFonts w:asciiTheme="majorBidi" w:hAnsiTheme="majorBidi" w:cstheme="majorBidi"/>
          <w:b/>
          <w:szCs w:val="24"/>
          <w:highlight w:val="lightGray"/>
          <w:lang w:val="lv-LV"/>
        </w:rPr>
        <w:t>15.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CITA INFORMĀCIJA</w:t>
      </w:r>
    </w:p>
    <w:p w14:paraId="0388B70C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2EE30CD2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Iepakojums</w:t>
      </w:r>
      <w:r w:rsidRPr="00242AAA">
        <w:rPr>
          <w:rFonts w:asciiTheme="majorBidi" w:hAnsiTheme="majorBidi" w:cstheme="majorBidi"/>
          <w:szCs w:val="24"/>
          <w:lang w:val="lv-LV"/>
        </w:rPr>
        <w:t>:</w:t>
      </w:r>
    </w:p>
    <w:p w14:paraId="576F9660" w14:textId="753EBDCD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Kartona k</w:t>
      </w:r>
      <w:r w:rsidR="00EF0E77">
        <w:rPr>
          <w:rFonts w:asciiTheme="majorBidi" w:hAnsiTheme="majorBidi" w:cstheme="majorBidi"/>
          <w:szCs w:val="24"/>
          <w:lang w:val="lv-LV"/>
        </w:rPr>
        <w:t>astīte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ar vienu dzintarkrāsas stikla flakonu (II tips) ar brombutila gumijas aizbāzni un alumīnija vāciņu.</w:t>
      </w:r>
    </w:p>
    <w:p w14:paraId="6EE8C2A7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72808271" w14:textId="77777777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u w:val="single"/>
          <w:lang w:val="lv-LV"/>
        </w:rPr>
      </w:pPr>
      <w:r w:rsidRPr="00242AAA">
        <w:rPr>
          <w:rFonts w:asciiTheme="majorBidi" w:hAnsiTheme="majorBidi" w:cstheme="majorBidi"/>
          <w:szCs w:val="24"/>
          <w:u w:val="single"/>
          <w:lang w:val="lv-LV"/>
        </w:rPr>
        <w:t>Iepakojuma izmēri:</w:t>
      </w:r>
    </w:p>
    <w:p w14:paraId="471919F8" w14:textId="03046A5F" w:rsidR="006568A2" w:rsidRPr="00242AAA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K</w:t>
      </w:r>
      <w:r w:rsidR="00EF0E77">
        <w:rPr>
          <w:rFonts w:asciiTheme="majorBidi" w:hAnsiTheme="majorBidi" w:cstheme="majorBidi"/>
          <w:szCs w:val="24"/>
          <w:lang w:val="lv-LV"/>
        </w:rPr>
        <w:t>astīte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ar vienu 100 ml flakonu</w:t>
      </w:r>
      <w:r w:rsidR="00EF0E77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29060EBF" w14:textId="25F5073E" w:rsidR="006568A2" w:rsidRPr="00242AAA" w:rsidRDefault="006B6568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szCs w:val="24"/>
          <w:lang w:val="lv-LV"/>
        </w:rPr>
        <w:t>I</w:t>
      </w:r>
      <w:r w:rsidR="00D86C52" w:rsidRPr="00242AAA">
        <w:rPr>
          <w:rFonts w:asciiTheme="majorBidi" w:hAnsiTheme="majorBidi" w:cstheme="majorBidi"/>
          <w:szCs w:val="24"/>
          <w:lang w:val="lv-LV"/>
        </w:rPr>
        <w:t>epakojums ar 5 k</w:t>
      </w:r>
      <w:r>
        <w:rPr>
          <w:rFonts w:asciiTheme="majorBidi" w:hAnsiTheme="majorBidi" w:cstheme="majorBidi"/>
          <w:szCs w:val="24"/>
          <w:lang w:val="lv-LV"/>
        </w:rPr>
        <w:t>astītēm</w:t>
      </w:r>
      <w:r w:rsidR="00D86C52" w:rsidRPr="00242AAA">
        <w:rPr>
          <w:rFonts w:asciiTheme="majorBidi" w:hAnsiTheme="majorBidi" w:cstheme="majorBidi"/>
          <w:szCs w:val="24"/>
          <w:lang w:val="lv-LV"/>
        </w:rPr>
        <w:t>, kas katra satur vienu 100 ml flakonu</w:t>
      </w:r>
      <w:r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68706C15" w14:textId="77777777" w:rsidR="006568A2" w:rsidRPr="00242AAA" w:rsidRDefault="006568A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738D4B1" w14:textId="4E0D14A1" w:rsidR="00D86C52" w:rsidRDefault="00D86C52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 visi iepakojuma izmēri var tikt izplatīti.</w:t>
      </w:r>
      <w:r w:rsidR="0033717D">
        <w:rPr>
          <w:rFonts w:asciiTheme="majorBidi" w:hAnsiTheme="majorBidi" w:cstheme="majorBidi"/>
          <w:szCs w:val="24"/>
          <w:lang w:val="lv-LV"/>
        </w:rPr>
        <w:t xml:space="preserve"> </w:t>
      </w:r>
    </w:p>
    <w:p w14:paraId="5AF6EDC9" w14:textId="77777777" w:rsidR="0033717D" w:rsidRDefault="0033717D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</w:p>
    <w:p w14:paraId="66DD51CE" w14:textId="53984C90" w:rsidR="0033717D" w:rsidRPr="00242AAA" w:rsidRDefault="0033717D" w:rsidP="00A113F8">
      <w:pPr>
        <w:spacing w:after="0" w:line="240" w:lineRule="auto"/>
        <w:jc w:val="both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szCs w:val="24"/>
          <w:lang w:val="lv-LV"/>
        </w:rPr>
        <w:t xml:space="preserve">Recepšu veterinārās zāles. </w:t>
      </w:r>
    </w:p>
    <w:sectPr w:rsidR="0033717D" w:rsidRPr="00242AAA" w:rsidSect="006E0775">
      <w:footerReference w:type="default" r:id="rId12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5A31A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CA8BCB3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406743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1A13311B" w14:textId="1EDFA88A" w:rsidR="005D6F70" w:rsidRPr="006E0775" w:rsidRDefault="005D6F70">
        <w:pPr>
          <w:pStyle w:val="Footer"/>
          <w:jc w:val="center"/>
          <w:rPr>
            <w:sz w:val="18"/>
            <w:szCs w:val="18"/>
          </w:rPr>
        </w:pPr>
        <w:r w:rsidRPr="006E0775">
          <w:rPr>
            <w:sz w:val="18"/>
            <w:szCs w:val="18"/>
          </w:rPr>
          <w:fldChar w:fldCharType="begin"/>
        </w:r>
        <w:r w:rsidRPr="006E0775">
          <w:rPr>
            <w:sz w:val="18"/>
            <w:szCs w:val="18"/>
          </w:rPr>
          <w:instrText xml:space="preserve"> PAGE   \* MERGEFORMAT </w:instrText>
        </w:r>
        <w:r w:rsidRPr="006E0775">
          <w:rPr>
            <w:sz w:val="18"/>
            <w:szCs w:val="18"/>
          </w:rPr>
          <w:fldChar w:fldCharType="separate"/>
        </w:r>
        <w:r w:rsidR="006E0775">
          <w:rPr>
            <w:noProof/>
            <w:sz w:val="18"/>
            <w:szCs w:val="18"/>
          </w:rPr>
          <w:t>4</w:t>
        </w:r>
        <w:r w:rsidRPr="006E0775">
          <w:rPr>
            <w:noProof/>
            <w:sz w:val="18"/>
            <w:szCs w:val="18"/>
          </w:rPr>
          <w:fldChar w:fldCharType="end"/>
        </w:r>
      </w:p>
    </w:sdtContent>
  </w:sdt>
  <w:p w14:paraId="6CB5DFC0" w14:textId="77777777" w:rsidR="005D6F70" w:rsidRDefault="005D6F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C05A9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86B8B78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F0A31"/>
    <w:multiLevelType w:val="hybridMultilevel"/>
    <w:tmpl w:val="84A43108"/>
    <w:lvl w:ilvl="0" w:tplc="FFFFFFFF">
      <w:start w:val="1"/>
      <w:numFmt w:val="bullet"/>
      <w:lvlText w:val="-"/>
      <w:lvlJc w:val="left"/>
      <w:pPr>
        <w:ind w:left="825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DateAndTim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9E"/>
    <w:rsid w:val="0001269C"/>
    <w:rsid w:val="000202A3"/>
    <w:rsid w:val="0005121F"/>
    <w:rsid w:val="000633CE"/>
    <w:rsid w:val="00065C83"/>
    <w:rsid w:val="00067F48"/>
    <w:rsid w:val="000C2944"/>
    <w:rsid w:val="000E6843"/>
    <w:rsid w:val="001258C5"/>
    <w:rsid w:val="0013163C"/>
    <w:rsid w:val="0015335B"/>
    <w:rsid w:val="0015357A"/>
    <w:rsid w:val="00174637"/>
    <w:rsid w:val="001A1404"/>
    <w:rsid w:val="001C699E"/>
    <w:rsid w:val="00242AAA"/>
    <w:rsid w:val="002E31A1"/>
    <w:rsid w:val="002E71E5"/>
    <w:rsid w:val="002F19BA"/>
    <w:rsid w:val="002F57E7"/>
    <w:rsid w:val="003365A5"/>
    <w:rsid w:val="0033717D"/>
    <w:rsid w:val="003421A2"/>
    <w:rsid w:val="00346ADA"/>
    <w:rsid w:val="00364F0D"/>
    <w:rsid w:val="00367B62"/>
    <w:rsid w:val="00371CBC"/>
    <w:rsid w:val="003E47F7"/>
    <w:rsid w:val="00455401"/>
    <w:rsid w:val="00462385"/>
    <w:rsid w:val="004C2302"/>
    <w:rsid w:val="004E2A36"/>
    <w:rsid w:val="004E4F4D"/>
    <w:rsid w:val="0050281E"/>
    <w:rsid w:val="00510610"/>
    <w:rsid w:val="005A0871"/>
    <w:rsid w:val="005C32EA"/>
    <w:rsid w:val="005D6F70"/>
    <w:rsid w:val="005F7EED"/>
    <w:rsid w:val="00650847"/>
    <w:rsid w:val="00652155"/>
    <w:rsid w:val="00654232"/>
    <w:rsid w:val="006568A2"/>
    <w:rsid w:val="006611AD"/>
    <w:rsid w:val="006A3735"/>
    <w:rsid w:val="006B6568"/>
    <w:rsid w:val="006E0775"/>
    <w:rsid w:val="006F5687"/>
    <w:rsid w:val="007125E4"/>
    <w:rsid w:val="00741E35"/>
    <w:rsid w:val="007B0C81"/>
    <w:rsid w:val="00800752"/>
    <w:rsid w:val="00832975"/>
    <w:rsid w:val="00851FCC"/>
    <w:rsid w:val="008A2CC8"/>
    <w:rsid w:val="008A515F"/>
    <w:rsid w:val="008B7F57"/>
    <w:rsid w:val="008F6822"/>
    <w:rsid w:val="00915C57"/>
    <w:rsid w:val="00986E51"/>
    <w:rsid w:val="00990389"/>
    <w:rsid w:val="009D0C4E"/>
    <w:rsid w:val="009F0D57"/>
    <w:rsid w:val="009F16EA"/>
    <w:rsid w:val="00A113F8"/>
    <w:rsid w:val="00A20529"/>
    <w:rsid w:val="00A646D2"/>
    <w:rsid w:val="00A67751"/>
    <w:rsid w:val="00A95684"/>
    <w:rsid w:val="00AB2569"/>
    <w:rsid w:val="00AB3678"/>
    <w:rsid w:val="00AB5A90"/>
    <w:rsid w:val="00B17758"/>
    <w:rsid w:val="00B25DF5"/>
    <w:rsid w:val="00B26C88"/>
    <w:rsid w:val="00B41614"/>
    <w:rsid w:val="00B4371E"/>
    <w:rsid w:val="00B848B8"/>
    <w:rsid w:val="00B85C28"/>
    <w:rsid w:val="00B9153F"/>
    <w:rsid w:val="00BC5C4D"/>
    <w:rsid w:val="00C13DE2"/>
    <w:rsid w:val="00C476D8"/>
    <w:rsid w:val="00C503BB"/>
    <w:rsid w:val="00CA4439"/>
    <w:rsid w:val="00CC5484"/>
    <w:rsid w:val="00D02D9E"/>
    <w:rsid w:val="00D04BE7"/>
    <w:rsid w:val="00D3288F"/>
    <w:rsid w:val="00D51F5D"/>
    <w:rsid w:val="00D55010"/>
    <w:rsid w:val="00D67637"/>
    <w:rsid w:val="00D86C52"/>
    <w:rsid w:val="00DB5DDB"/>
    <w:rsid w:val="00DB634D"/>
    <w:rsid w:val="00E0053F"/>
    <w:rsid w:val="00E1092F"/>
    <w:rsid w:val="00E15C44"/>
    <w:rsid w:val="00E4739E"/>
    <w:rsid w:val="00E57A2C"/>
    <w:rsid w:val="00E918A5"/>
    <w:rsid w:val="00E94090"/>
    <w:rsid w:val="00EC43A9"/>
    <w:rsid w:val="00EC6742"/>
    <w:rsid w:val="00EC7EEF"/>
    <w:rsid w:val="00EF0E77"/>
    <w:rsid w:val="00EF1DCB"/>
    <w:rsid w:val="00F1721E"/>
    <w:rsid w:val="00F95F77"/>
    <w:rsid w:val="00FD0B72"/>
    <w:rsid w:val="00FD248A"/>
    <w:rsid w:val="00FD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957D33A"/>
  <w15:docId w15:val="{ACC249DD-FC31-474C-9807-F86820B8D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8A2"/>
    <w:pPr>
      <w:spacing w:after="160" w:line="259" w:lineRule="auto"/>
    </w:pPr>
    <w:rPr>
      <w:rFonts w:cs="Times New Roman"/>
      <w:snapToGrid w:val="0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68A2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68A2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656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568A2"/>
    <w:rPr>
      <w:rFonts w:cs="Times New Roman"/>
    </w:rPr>
  </w:style>
  <w:style w:type="paragraph" w:styleId="Footer">
    <w:name w:val="footer"/>
    <w:basedOn w:val="Normal"/>
    <w:link w:val="Emphasis"/>
    <w:uiPriority w:val="99"/>
    <w:rsid w:val="00656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6568A2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6568A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rsid w:val="006568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  <w:semiHidden/>
    <w:locked/>
    <w:rsid w:val="006568A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568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568A2"/>
    <w:rPr>
      <w:rFonts w:cs="Times New Roman"/>
      <w:b/>
      <w:bCs/>
      <w:sz w:val="20"/>
      <w:szCs w:val="20"/>
    </w:rPr>
  </w:style>
  <w:style w:type="character" w:customStyle="1" w:styleId="tw4winMark">
    <w:name w:val="tw4winMark"/>
    <w:uiPriority w:val="99"/>
    <w:rsid w:val="006568A2"/>
    <w:rPr>
      <w:rFonts w:ascii="Courier New" w:hAnsi="Courier New"/>
      <w:vanish/>
      <w:color w:val="800080"/>
      <w:sz w:val="24"/>
      <w:vertAlign w:val="subscript"/>
    </w:rPr>
  </w:style>
  <w:style w:type="character" w:styleId="Emphasis">
    <w:name w:val="Emphasis"/>
    <w:aliases w:val="Footer Char"/>
    <w:basedOn w:val="DefaultParagraphFont"/>
    <w:link w:val="Footer"/>
    <w:uiPriority w:val="99"/>
    <w:qFormat/>
    <w:rsid w:val="006568A2"/>
    <w:rPr>
      <w:rFonts w:cs="Times New Roman"/>
      <w:i/>
      <w:iCs/>
    </w:rPr>
  </w:style>
  <w:style w:type="character" w:customStyle="1" w:styleId="tw4winError">
    <w:name w:val="tw4winError"/>
    <w:uiPriority w:val="99"/>
    <w:rsid w:val="006568A2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6568A2"/>
    <w:rPr>
      <w:color w:val="0000FF"/>
    </w:rPr>
  </w:style>
  <w:style w:type="character" w:customStyle="1" w:styleId="tw4winPopup">
    <w:name w:val="tw4winPopup"/>
    <w:uiPriority w:val="99"/>
    <w:rsid w:val="006568A2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6568A2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6568A2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6568A2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6568A2"/>
    <w:rPr>
      <w:rFonts w:ascii="Courier New" w:hAnsi="Courier New"/>
      <w:noProof/>
      <w:color w:val="8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371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717D"/>
    <w:rPr>
      <w:rFonts w:cs="Times New Roman"/>
      <w:snapToGrid w:val="0"/>
      <w:lang w:val="nl-NL"/>
    </w:rPr>
  </w:style>
  <w:style w:type="character" w:styleId="EndnoteReference">
    <w:name w:val="endnote reference"/>
    <w:basedOn w:val="DefaultParagraphFont"/>
    <w:uiPriority w:val="99"/>
    <w:semiHidden/>
    <w:unhideWhenUsed/>
    <w:rsid w:val="0033717D"/>
    <w:rPr>
      <w:vertAlign w:val="superscript"/>
    </w:rPr>
  </w:style>
  <w:style w:type="paragraph" w:styleId="Revision">
    <w:name w:val="Revision"/>
    <w:hidden/>
    <w:uiPriority w:val="99"/>
    <w:semiHidden/>
    <w:rsid w:val="006E0775"/>
    <w:rPr>
      <w:rFonts w:cs="Times New Roman"/>
      <w:snapToGrid w:val="0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45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59056-4C5D-4DB5-A42E-93870B7DF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1094</Words>
  <Characters>7657</Characters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