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2F83E7" w14:textId="7C0A18C7" w:rsidR="006568A2" w:rsidRPr="00CA7B77" w:rsidRDefault="001822F6" w:rsidP="00CA7B77">
      <w:pPr>
        <w:spacing w:after="0" w:line="240" w:lineRule="auto"/>
        <w:jc w:val="center"/>
        <w:rPr>
          <w:rFonts w:asciiTheme="majorBidi" w:hAnsiTheme="majorBidi" w:cstheme="majorBidi"/>
          <w:b/>
          <w:bCs/>
          <w:szCs w:val="24"/>
          <w:lang w:val="lv-LV"/>
        </w:rPr>
      </w:pPr>
      <w:bookmarkStart w:id="0" w:name="_GoBack"/>
      <w:bookmarkEnd w:id="0"/>
      <w:r w:rsidRPr="00CA7B77">
        <w:rPr>
          <w:rFonts w:asciiTheme="majorBidi" w:hAnsiTheme="majorBidi" w:cstheme="majorBidi"/>
          <w:b/>
          <w:bCs/>
          <w:szCs w:val="24"/>
          <w:lang w:val="lv-LV"/>
        </w:rPr>
        <w:t>MARĶĒJUMS</w:t>
      </w:r>
    </w:p>
    <w:p w14:paraId="216D7BA9" w14:textId="77777777" w:rsidR="001822F6" w:rsidRPr="001822F6" w:rsidRDefault="001822F6" w:rsidP="001822F6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Cs w:val="24"/>
          <w:lang w:val="lv-LV"/>
        </w:rPr>
      </w:pPr>
      <w:r w:rsidRPr="001822F6">
        <w:rPr>
          <w:rFonts w:ascii="Times New Roman" w:hAnsi="Times New Roman"/>
          <w:b/>
          <w:szCs w:val="24"/>
          <w:lang w:val="lv-LV"/>
        </w:rPr>
        <w:t>V/DCP/19/0030</w:t>
      </w:r>
    </w:p>
    <w:tbl>
      <w:tblPr>
        <w:tblpPr w:leftFromText="180" w:rightFromText="180" w:vertAnchor="page" w:horzAnchor="margin" w:tblpX="-147" w:tblpY="1799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1822F6" w:rsidRPr="00242AAA" w14:paraId="01E0C338" w14:textId="77777777" w:rsidTr="001822F6">
        <w:trPr>
          <w:trHeight w:val="977"/>
        </w:trPr>
        <w:tc>
          <w:tcPr>
            <w:tcW w:w="9214" w:type="dxa"/>
          </w:tcPr>
          <w:p w14:paraId="05041066" w14:textId="77777777" w:rsidR="001822F6" w:rsidRPr="00242AAA" w:rsidRDefault="001822F6" w:rsidP="001822F6">
            <w:pPr>
              <w:spacing w:after="0" w:line="240" w:lineRule="auto"/>
              <w:rPr>
                <w:rFonts w:asciiTheme="majorBidi" w:hAnsiTheme="majorBidi" w:cstheme="majorBidi"/>
                <w:b/>
                <w:szCs w:val="24"/>
                <w:lang w:val="lv-LV"/>
              </w:rPr>
            </w:pPr>
            <w:r w:rsidRPr="00242AAA">
              <w:rPr>
                <w:rFonts w:asciiTheme="majorBidi" w:hAnsiTheme="majorBidi" w:cstheme="majorBidi"/>
                <w:b/>
                <w:szCs w:val="24"/>
                <w:lang w:val="lv-LV"/>
              </w:rPr>
              <w:t>INFORMĀCIJA, KURAI JĀBŪT UZ ĀRĒJĀ IEPAKOJUMA UN TIEŠĀ IEPAKOJUMA</w:t>
            </w:r>
          </w:p>
          <w:p w14:paraId="07F5C3FE" w14:textId="77777777" w:rsidR="001822F6" w:rsidRPr="00242AAA" w:rsidRDefault="001822F6" w:rsidP="001822F6">
            <w:pPr>
              <w:spacing w:after="0" w:line="240" w:lineRule="auto"/>
              <w:rPr>
                <w:rFonts w:asciiTheme="majorBidi" w:hAnsiTheme="majorBidi" w:cstheme="majorBidi"/>
                <w:szCs w:val="24"/>
                <w:lang w:val="lv-LV"/>
              </w:rPr>
            </w:pPr>
          </w:p>
          <w:p w14:paraId="7A6C9DD1" w14:textId="613AC46E" w:rsidR="001822F6" w:rsidRPr="00242AAA" w:rsidRDefault="001822F6" w:rsidP="001822F6">
            <w:pPr>
              <w:spacing w:after="0" w:line="240" w:lineRule="auto"/>
              <w:rPr>
                <w:rFonts w:asciiTheme="majorBidi" w:hAnsiTheme="majorBidi" w:cstheme="majorBidi"/>
                <w:b/>
                <w:szCs w:val="24"/>
                <w:lang w:val="lv-LV"/>
              </w:rPr>
            </w:pPr>
            <w:r>
              <w:rPr>
                <w:rFonts w:asciiTheme="majorBidi" w:hAnsiTheme="majorBidi" w:cstheme="majorBidi"/>
                <w:b/>
                <w:szCs w:val="24"/>
                <w:lang w:val="lv-LV"/>
              </w:rPr>
              <w:t>Kartona</w:t>
            </w:r>
            <w:r w:rsidRPr="00242AAA">
              <w:rPr>
                <w:rFonts w:asciiTheme="majorBidi" w:hAnsiTheme="majorBidi" w:cstheme="majorBidi"/>
                <w:b/>
                <w:szCs w:val="24"/>
                <w:lang w:val="lv-LV"/>
              </w:rPr>
              <w:t xml:space="preserve"> kastīte 100 ml flakon</w:t>
            </w:r>
            <w:r>
              <w:rPr>
                <w:rFonts w:asciiTheme="majorBidi" w:hAnsiTheme="majorBidi" w:cstheme="majorBidi"/>
                <w:b/>
                <w:szCs w:val="24"/>
                <w:lang w:val="lv-LV"/>
              </w:rPr>
              <w:t>am</w:t>
            </w:r>
            <w:r w:rsidRPr="00242AAA">
              <w:rPr>
                <w:rFonts w:asciiTheme="majorBidi" w:hAnsiTheme="majorBidi" w:cstheme="majorBidi"/>
                <w:b/>
                <w:szCs w:val="24"/>
                <w:lang w:val="lv-LV"/>
              </w:rPr>
              <w:t xml:space="preserve"> un vairāku </w:t>
            </w:r>
            <w:r>
              <w:rPr>
                <w:rFonts w:asciiTheme="majorBidi" w:hAnsiTheme="majorBidi" w:cstheme="majorBidi"/>
                <w:b/>
                <w:szCs w:val="24"/>
                <w:lang w:val="lv-LV"/>
              </w:rPr>
              <w:t>flakonu</w:t>
            </w:r>
            <w:r w:rsidRPr="00242AAA">
              <w:rPr>
                <w:rFonts w:asciiTheme="majorBidi" w:hAnsiTheme="majorBidi" w:cstheme="majorBidi"/>
                <w:b/>
                <w:szCs w:val="24"/>
                <w:lang w:val="lv-LV"/>
              </w:rPr>
              <w:t xml:space="preserve"> iepakojum</w:t>
            </w:r>
            <w:r>
              <w:rPr>
                <w:rFonts w:asciiTheme="majorBidi" w:hAnsiTheme="majorBidi" w:cstheme="majorBidi"/>
                <w:b/>
                <w:szCs w:val="24"/>
                <w:lang w:val="lv-LV"/>
              </w:rPr>
              <w:t>am</w:t>
            </w:r>
          </w:p>
          <w:p w14:paraId="33EF641F" w14:textId="268E93FE" w:rsidR="001822F6" w:rsidRPr="00242AAA" w:rsidRDefault="001822F6" w:rsidP="001822F6">
            <w:pPr>
              <w:spacing w:after="0" w:line="240" w:lineRule="auto"/>
              <w:rPr>
                <w:rFonts w:asciiTheme="majorBidi" w:hAnsiTheme="majorBidi" w:cstheme="majorBidi"/>
                <w:szCs w:val="24"/>
                <w:lang w:val="lv-LV"/>
              </w:rPr>
            </w:pPr>
            <w:r w:rsidRPr="00242AAA">
              <w:rPr>
                <w:rFonts w:asciiTheme="majorBidi" w:hAnsiTheme="majorBidi" w:cstheme="majorBidi"/>
                <w:b/>
                <w:szCs w:val="24"/>
                <w:lang w:val="lv-LV"/>
              </w:rPr>
              <w:t>100 ml stikla flakon</w:t>
            </w:r>
            <w:r>
              <w:rPr>
                <w:rFonts w:asciiTheme="majorBidi" w:hAnsiTheme="majorBidi" w:cstheme="majorBidi"/>
                <w:b/>
                <w:szCs w:val="24"/>
                <w:lang w:val="lv-LV"/>
              </w:rPr>
              <w:t>s</w:t>
            </w:r>
          </w:p>
        </w:tc>
      </w:tr>
    </w:tbl>
    <w:p w14:paraId="3C87B9E9" w14:textId="7CBF0D46" w:rsidR="001822F6" w:rsidRDefault="001822F6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486D3BA7" w14:textId="77777777" w:rsidR="001822F6" w:rsidRPr="00242AAA" w:rsidRDefault="001822F6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11E3FD27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1.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VETERINĀRO ZĀĻU NOSAUKUMS</w:t>
      </w:r>
    </w:p>
    <w:p w14:paraId="7273788A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52E428E3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AA1C35">
        <w:rPr>
          <w:rFonts w:asciiTheme="majorBidi" w:hAnsiTheme="majorBidi" w:cstheme="majorBidi"/>
          <w:b/>
          <w:szCs w:val="24"/>
          <w:lang w:val="lv-LV"/>
        </w:rPr>
        <w:t>Sympagesic 500 mg/ml + 4 mg/ml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šķīdums injekcijām zirgiem, liellopiem, cūkām un suņiem</w:t>
      </w:r>
    </w:p>
    <w:p w14:paraId="5114751B" w14:textId="0B43FE0E" w:rsidR="006568A2" w:rsidRPr="00AA1C35" w:rsidRDefault="00B41614">
      <w:pPr>
        <w:spacing w:after="0" w:line="240" w:lineRule="auto"/>
        <w:rPr>
          <w:rFonts w:asciiTheme="majorBidi" w:hAnsiTheme="majorBidi" w:cstheme="majorBidi"/>
          <w:i/>
          <w:szCs w:val="24"/>
          <w:lang w:val="lv-LV"/>
        </w:rPr>
      </w:pPr>
      <w:r w:rsidRPr="00AA1C35">
        <w:rPr>
          <w:rFonts w:ascii="Times New Roman" w:hAnsi="Times New Roman"/>
          <w:i/>
          <w:iCs/>
          <w:szCs w:val="24"/>
          <w:lang w:val="lv-LV"/>
        </w:rPr>
        <w:t>Metamizole sodium monohydrate + hyoscine butylbromide</w:t>
      </w:r>
      <w:r w:rsidRPr="00AA1C35" w:rsidDel="00B41614">
        <w:rPr>
          <w:rFonts w:ascii="Times New Roman" w:hAnsi="Times New Roman"/>
          <w:i/>
          <w:iCs/>
          <w:szCs w:val="24"/>
          <w:lang w:val="lv-LV"/>
        </w:rPr>
        <w:t xml:space="preserve"> </w:t>
      </w:r>
    </w:p>
    <w:p w14:paraId="18DD7F60" w14:textId="77777777" w:rsidR="006568A2" w:rsidRDefault="006568A2">
      <w:pPr>
        <w:spacing w:after="0" w:line="240" w:lineRule="auto"/>
        <w:rPr>
          <w:rFonts w:asciiTheme="majorBidi" w:hAnsiTheme="majorBidi" w:cstheme="majorBidi"/>
          <w:i/>
          <w:szCs w:val="24"/>
          <w:lang w:val="lv-LV"/>
        </w:rPr>
      </w:pPr>
    </w:p>
    <w:p w14:paraId="44B9FCC3" w14:textId="77777777" w:rsidR="00B41614" w:rsidRPr="00AA1C35" w:rsidRDefault="00B41614">
      <w:pPr>
        <w:spacing w:after="0" w:line="240" w:lineRule="auto"/>
        <w:rPr>
          <w:rFonts w:asciiTheme="majorBidi" w:hAnsiTheme="majorBidi" w:cstheme="majorBidi"/>
          <w:i/>
          <w:szCs w:val="24"/>
          <w:lang w:val="lv-LV"/>
        </w:rPr>
      </w:pPr>
    </w:p>
    <w:p w14:paraId="046C554E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2.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AKTĪVO VIELU NOSAUKUMS</w:t>
      </w:r>
    </w:p>
    <w:p w14:paraId="4B113321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447785FD" w14:textId="4A76036D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1 ml satur</w:t>
      </w:r>
      <w:r w:rsidR="00B41614">
        <w:rPr>
          <w:rFonts w:asciiTheme="majorBidi" w:hAnsiTheme="majorBidi" w:cstheme="majorBidi"/>
          <w:szCs w:val="24"/>
          <w:lang w:val="lv-LV"/>
        </w:rPr>
        <w:t>:</w:t>
      </w:r>
    </w:p>
    <w:p w14:paraId="385C23E3" w14:textId="7B74CF73" w:rsidR="006568A2" w:rsidRPr="00242AAA" w:rsidRDefault="00B41614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>
        <w:rPr>
          <w:rFonts w:asciiTheme="majorBidi" w:hAnsiTheme="majorBidi" w:cstheme="majorBidi"/>
          <w:szCs w:val="24"/>
          <w:lang w:val="lv-LV"/>
        </w:rPr>
        <w:t>M</w:t>
      </w:r>
      <w:r w:rsidR="00D86C52" w:rsidRPr="00242AAA">
        <w:rPr>
          <w:rFonts w:asciiTheme="majorBidi" w:hAnsiTheme="majorBidi" w:cstheme="majorBidi"/>
          <w:szCs w:val="24"/>
          <w:lang w:val="lv-LV"/>
        </w:rPr>
        <w:t>etamizola nātrija</w:t>
      </w:r>
      <w:r>
        <w:rPr>
          <w:rFonts w:asciiTheme="majorBidi" w:hAnsiTheme="majorBidi" w:cstheme="majorBidi"/>
          <w:szCs w:val="24"/>
          <w:lang w:val="lv-LV"/>
        </w:rPr>
        <w:t xml:space="preserve"> sāls</w:t>
      </w:r>
      <w:r w:rsidR="00D86C52" w:rsidRPr="00242AAA">
        <w:rPr>
          <w:rFonts w:asciiTheme="majorBidi" w:hAnsiTheme="majorBidi" w:cstheme="majorBidi"/>
          <w:szCs w:val="24"/>
          <w:lang w:val="lv-LV"/>
        </w:rPr>
        <w:t xml:space="preserve"> monohidrāt</w:t>
      </w:r>
      <w:r>
        <w:rPr>
          <w:rFonts w:asciiTheme="majorBidi" w:hAnsiTheme="majorBidi" w:cstheme="majorBidi"/>
          <w:szCs w:val="24"/>
          <w:lang w:val="lv-LV"/>
        </w:rPr>
        <w:t xml:space="preserve">s </w:t>
      </w:r>
      <w:r w:rsidRPr="00B41614">
        <w:rPr>
          <w:rFonts w:ascii="Times New Roman" w:hAnsi="Times New Roman"/>
          <w:szCs w:val="24"/>
          <w:lang w:val="lv-LV"/>
        </w:rPr>
        <w:t>500 mg</w:t>
      </w:r>
    </w:p>
    <w:p w14:paraId="41D9814C" w14:textId="26E318FB" w:rsidR="006568A2" w:rsidRPr="00242AAA" w:rsidRDefault="00B41614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>
        <w:rPr>
          <w:rFonts w:asciiTheme="majorBidi" w:hAnsiTheme="majorBidi" w:cstheme="majorBidi"/>
          <w:szCs w:val="24"/>
          <w:lang w:val="lv-LV"/>
        </w:rPr>
        <w:t>H</w:t>
      </w:r>
      <w:r w:rsidR="00D86C52" w:rsidRPr="00242AAA">
        <w:rPr>
          <w:rFonts w:asciiTheme="majorBidi" w:hAnsiTheme="majorBidi" w:cstheme="majorBidi"/>
          <w:szCs w:val="24"/>
          <w:lang w:val="lv-LV"/>
        </w:rPr>
        <w:t>ioscīna butilbromīd</w:t>
      </w:r>
      <w:r>
        <w:rPr>
          <w:rFonts w:asciiTheme="majorBidi" w:hAnsiTheme="majorBidi" w:cstheme="majorBidi"/>
          <w:szCs w:val="24"/>
          <w:lang w:val="lv-LV"/>
        </w:rPr>
        <w:t xml:space="preserve">s </w:t>
      </w:r>
      <w:r w:rsidRPr="00B41614">
        <w:rPr>
          <w:rFonts w:ascii="Times New Roman" w:hAnsi="Times New Roman"/>
          <w:szCs w:val="24"/>
          <w:lang w:val="lv-LV"/>
        </w:rPr>
        <w:t>4 mg</w:t>
      </w:r>
    </w:p>
    <w:p w14:paraId="5042258A" w14:textId="77777777" w:rsidR="006568A2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02B3BF2E" w14:textId="77777777" w:rsidR="00B41614" w:rsidRPr="00242AAA" w:rsidRDefault="00B41614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14A6EC50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Bidi" w:hAnsiTheme="majorBidi" w:cstheme="majorBidi"/>
          <w:b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3.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ZĀĻU FORMA</w:t>
      </w:r>
    </w:p>
    <w:p w14:paraId="62C46FFC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2508F5DC" w14:textId="18088CF2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AA1C35">
        <w:rPr>
          <w:rFonts w:asciiTheme="majorBidi" w:hAnsiTheme="majorBidi" w:cstheme="majorBidi"/>
          <w:szCs w:val="24"/>
          <w:highlight w:val="lightGray"/>
          <w:lang w:val="lv-LV"/>
        </w:rPr>
        <w:t>Šķīdums injekcijām</w:t>
      </w:r>
      <w:r w:rsidR="00986E51">
        <w:rPr>
          <w:rFonts w:asciiTheme="majorBidi" w:hAnsiTheme="majorBidi" w:cstheme="majorBidi"/>
          <w:szCs w:val="24"/>
          <w:lang w:val="lv-LV"/>
        </w:rPr>
        <w:t>.</w:t>
      </w:r>
    </w:p>
    <w:p w14:paraId="63CCAE32" w14:textId="77777777" w:rsidR="006568A2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149712AA" w14:textId="77777777" w:rsidR="00B41614" w:rsidRPr="00242AAA" w:rsidRDefault="00B41614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3E4393A0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4.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IEPAKOJUMA IZMĒRS</w:t>
      </w:r>
    </w:p>
    <w:p w14:paraId="41832456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5F15CE75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100 ml</w:t>
      </w:r>
    </w:p>
    <w:p w14:paraId="629E48D3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AA1C35">
        <w:rPr>
          <w:rFonts w:asciiTheme="majorBidi" w:hAnsiTheme="majorBidi" w:cstheme="majorBidi"/>
          <w:szCs w:val="24"/>
          <w:highlight w:val="lightGray"/>
          <w:lang w:val="lv-LV"/>
        </w:rPr>
        <w:t>5 x 100 ml</w:t>
      </w:r>
    </w:p>
    <w:p w14:paraId="6D5CBD30" w14:textId="77777777" w:rsidR="006568A2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332103AF" w14:textId="77777777" w:rsidR="00B41614" w:rsidRPr="00242AAA" w:rsidRDefault="00B41614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19D2C1EB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5.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MĒRĶA SUGAS</w:t>
      </w:r>
    </w:p>
    <w:p w14:paraId="45660201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7567AB97" w14:textId="1B13EC32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Zirgi, liellopi, cūkas, suņi</w:t>
      </w:r>
      <w:r w:rsidR="00986E51">
        <w:rPr>
          <w:rFonts w:asciiTheme="majorBidi" w:hAnsiTheme="majorBidi" w:cstheme="majorBidi"/>
          <w:szCs w:val="24"/>
          <w:lang w:val="lv-LV"/>
        </w:rPr>
        <w:t>.</w:t>
      </w:r>
      <w:r w:rsidRPr="00242AAA">
        <w:rPr>
          <w:rFonts w:asciiTheme="majorBidi" w:hAnsiTheme="majorBidi" w:cstheme="majorBidi"/>
          <w:szCs w:val="24"/>
          <w:lang w:val="lv-LV"/>
        </w:rPr>
        <w:t xml:space="preserve"> </w:t>
      </w:r>
    </w:p>
    <w:p w14:paraId="252EA7C8" w14:textId="17155467" w:rsidR="006568A2" w:rsidRPr="00242AAA" w:rsidRDefault="00FD248A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>
        <w:rPr>
          <w:rFonts w:asciiTheme="majorBidi" w:hAnsiTheme="majorBidi" w:cstheme="majorBidi"/>
          <w:noProof/>
          <w:szCs w:val="24"/>
          <w:lang w:val="en-US"/>
        </w:rPr>
        <w:drawing>
          <wp:inline distT="0" distB="0" distL="0" distR="0" wp14:anchorId="0A4468A4" wp14:editId="395543C3">
            <wp:extent cx="944880" cy="723900"/>
            <wp:effectExtent l="0" t="0" r="7620" b="0"/>
            <wp:docPr id="1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6C52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>
        <w:rPr>
          <w:rFonts w:asciiTheme="majorBidi" w:hAnsiTheme="majorBidi" w:cstheme="majorBidi"/>
          <w:noProof/>
          <w:szCs w:val="24"/>
          <w:lang w:val="en-US"/>
        </w:rPr>
        <w:drawing>
          <wp:inline distT="0" distB="0" distL="0" distR="0" wp14:anchorId="7D6F02FD" wp14:editId="3FE08760">
            <wp:extent cx="944880" cy="624840"/>
            <wp:effectExtent l="0" t="0" r="7620" b="3810"/>
            <wp:docPr id="2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6C52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>
        <w:rPr>
          <w:rFonts w:asciiTheme="majorBidi" w:hAnsiTheme="majorBidi" w:cstheme="majorBidi"/>
          <w:noProof/>
          <w:szCs w:val="24"/>
          <w:lang w:val="en-US"/>
        </w:rPr>
        <w:drawing>
          <wp:inline distT="0" distB="0" distL="0" distR="0" wp14:anchorId="26D29295" wp14:editId="5E07DA18">
            <wp:extent cx="922020" cy="525780"/>
            <wp:effectExtent l="0" t="0" r="0" b="762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Cs w:val="24"/>
          <w:lang w:val="en-US"/>
        </w:rPr>
        <w:drawing>
          <wp:inline distT="0" distB="0" distL="0" distR="0" wp14:anchorId="774E1C8B" wp14:editId="36F2EE84">
            <wp:extent cx="731520" cy="533400"/>
            <wp:effectExtent l="0" t="0" r="0" b="0"/>
            <wp:docPr id="4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77B1A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106A46F3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Bidi" w:hAnsiTheme="majorBidi" w:cstheme="majorBidi"/>
          <w:b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6.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INDIKĀCIJA(-S)</w:t>
      </w:r>
    </w:p>
    <w:p w14:paraId="58309C16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5BE0E097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5D14F092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7.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LIETOŠANAS METODE UN IEVADĪŠANAS VEIDS(-I)</w:t>
      </w:r>
    </w:p>
    <w:p w14:paraId="075E0A94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3DC874B5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Intravenozai vai intramuskulārai lietošanai.</w:t>
      </w:r>
    </w:p>
    <w:p w14:paraId="4E320C49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Pirms lietošanas izlasiet iepakojumam pievienoto lietošanas instrukciju.</w:t>
      </w:r>
    </w:p>
    <w:p w14:paraId="710E1FC3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45E57479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0EB230E2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8.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IEROBEŽOJUMU PERIODS(-I) DZĪVNIEKU PRODUKCIJAS IZMANTOŠANĀ</w:t>
      </w:r>
    </w:p>
    <w:p w14:paraId="650A094B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32C6FD98" w14:textId="3DD658F6" w:rsidR="00971802" w:rsidRPr="00971802" w:rsidRDefault="0097180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971802">
        <w:rPr>
          <w:rFonts w:asciiTheme="majorBidi" w:hAnsiTheme="majorBidi" w:cstheme="majorBidi"/>
          <w:szCs w:val="24"/>
          <w:lang w:val="lv-LV"/>
        </w:rPr>
        <w:t>Ierobežojumu period</w:t>
      </w:r>
      <w:r w:rsidR="002A41CE">
        <w:rPr>
          <w:rFonts w:asciiTheme="majorBidi" w:hAnsiTheme="majorBidi" w:cstheme="majorBidi"/>
          <w:szCs w:val="24"/>
          <w:lang w:val="lv-LV"/>
        </w:rPr>
        <w:t>s</w:t>
      </w:r>
      <w:r w:rsidRPr="00971802">
        <w:rPr>
          <w:rFonts w:asciiTheme="majorBidi" w:hAnsiTheme="majorBidi" w:cstheme="majorBidi"/>
          <w:szCs w:val="24"/>
          <w:lang w:val="lv-LV"/>
        </w:rPr>
        <w:t>:</w:t>
      </w:r>
    </w:p>
    <w:p w14:paraId="4D136F1E" w14:textId="16FB8BEF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Liellopi</w:t>
      </w:r>
      <w:r w:rsidR="00B41614">
        <w:rPr>
          <w:rFonts w:asciiTheme="majorBidi" w:hAnsiTheme="majorBidi" w:cstheme="majorBidi"/>
          <w:szCs w:val="24"/>
          <w:lang w:val="lv-LV"/>
        </w:rPr>
        <w:t>:</w:t>
      </w:r>
    </w:p>
    <w:p w14:paraId="7D9AA8D0" w14:textId="1585AA32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Gaļai un blakusproduktiem: 18 dienas pēc intravenozas lietošanas</w:t>
      </w:r>
      <w:r w:rsidR="00B41614">
        <w:rPr>
          <w:rFonts w:asciiTheme="majorBidi" w:hAnsiTheme="majorBidi" w:cstheme="majorBidi"/>
          <w:szCs w:val="24"/>
          <w:lang w:val="lv-LV"/>
        </w:rPr>
        <w:t xml:space="preserve">. </w:t>
      </w:r>
    </w:p>
    <w:p w14:paraId="314B2860" w14:textId="43DF0B18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lastRenderedPageBreak/>
        <w:t>Gaļai un blakusproduktiem: 28 dienas pēc intramuskulāras lietošanas</w:t>
      </w:r>
      <w:r w:rsidR="00B41614">
        <w:rPr>
          <w:rFonts w:asciiTheme="majorBidi" w:hAnsiTheme="majorBidi" w:cstheme="majorBidi"/>
          <w:szCs w:val="24"/>
          <w:lang w:val="lv-LV"/>
        </w:rPr>
        <w:t xml:space="preserve">. </w:t>
      </w:r>
    </w:p>
    <w:p w14:paraId="2B58CB9C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 xml:space="preserve">Nav reģistrēts lietošanai dzīvniekiem, kuru pienu paredzēts izmantot cilvēku uzturā. </w:t>
      </w:r>
    </w:p>
    <w:p w14:paraId="0887E642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Nelietot grūsniem dzīvniekiem 2 mēnešus pirms gaidāmajām dzemdībām, ja šo dzīvnieku pienu paredzēts izmantot cilvēku uzturā.</w:t>
      </w:r>
    </w:p>
    <w:p w14:paraId="6099297F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6ED9DDD4" w14:textId="71421AA4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Zirgi</w:t>
      </w:r>
      <w:r w:rsidR="00B41614">
        <w:rPr>
          <w:rFonts w:asciiTheme="majorBidi" w:hAnsiTheme="majorBidi" w:cstheme="majorBidi"/>
          <w:szCs w:val="24"/>
          <w:lang w:val="lv-LV"/>
        </w:rPr>
        <w:t xml:space="preserve">: </w:t>
      </w:r>
    </w:p>
    <w:p w14:paraId="371FEF0C" w14:textId="0935646C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Gaļai un blakusproduktiem: 15 dienas</w:t>
      </w:r>
      <w:r w:rsidR="00B41614">
        <w:rPr>
          <w:rFonts w:asciiTheme="majorBidi" w:hAnsiTheme="majorBidi" w:cstheme="majorBidi"/>
          <w:szCs w:val="24"/>
          <w:lang w:val="lv-LV"/>
        </w:rPr>
        <w:t>.</w:t>
      </w:r>
    </w:p>
    <w:p w14:paraId="5F2281E3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 xml:space="preserve">Nav reģistrēts lietošanai dzīvniekiem, kuru pienu paredzēts izmantot cilvēku uzturā. </w:t>
      </w:r>
    </w:p>
    <w:p w14:paraId="49DDDC32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Nelietot grūsniem dzīvniekiem 2 mēnešus pirms gaidāmajām dzemdībām, ja šo dzīvnieku pienu paredzēts izmantot cilvēku uzturā.</w:t>
      </w:r>
    </w:p>
    <w:p w14:paraId="5F55583B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6826C91D" w14:textId="605A2D44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Cūkas</w:t>
      </w:r>
      <w:r w:rsidR="00B41614">
        <w:rPr>
          <w:rFonts w:asciiTheme="majorBidi" w:hAnsiTheme="majorBidi" w:cstheme="majorBidi"/>
          <w:szCs w:val="24"/>
          <w:lang w:val="lv-LV"/>
        </w:rPr>
        <w:t>:</w:t>
      </w:r>
    </w:p>
    <w:p w14:paraId="32FE5D24" w14:textId="7E878615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Gaļai un blakusproduktiem: 15 dienas</w:t>
      </w:r>
      <w:r w:rsidR="00B41614">
        <w:rPr>
          <w:rFonts w:asciiTheme="majorBidi" w:hAnsiTheme="majorBidi" w:cstheme="majorBidi"/>
          <w:szCs w:val="24"/>
          <w:lang w:val="lv-LV"/>
        </w:rPr>
        <w:t xml:space="preserve">. </w:t>
      </w:r>
    </w:p>
    <w:p w14:paraId="6347EE5D" w14:textId="77777777" w:rsidR="006568A2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302FC18D" w14:textId="77777777" w:rsidR="00B41614" w:rsidRPr="00242AAA" w:rsidRDefault="00B41614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59906024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9.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ĪPAŠI BRĪDINĀJUMI, JA NEPIECIEŠAMS</w:t>
      </w:r>
    </w:p>
    <w:p w14:paraId="12C536AC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32CF260C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AA1C35">
        <w:rPr>
          <w:rFonts w:asciiTheme="majorBidi" w:hAnsiTheme="majorBidi" w:cstheme="majorBidi"/>
          <w:szCs w:val="24"/>
          <w:highlight w:val="lightGray"/>
          <w:lang w:val="lv-LV"/>
        </w:rPr>
        <w:t>Pirms lietošanas izlasiet iepakojumam pievienoto lietošanas instrukciju.</w:t>
      </w:r>
    </w:p>
    <w:p w14:paraId="4FF371BA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495EBE77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52BDC986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Bidi" w:hAnsiTheme="majorBidi" w:cstheme="majorBidi"/>
          <w:b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10.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DERĪGUMA TERMIŅŠ</w:t>
      </w:r>
    </w:p>
    <w:p w14:paraId="55E901E7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i/>
          <w:szCs w:val="24"/>
          <w:lang w:val="lv-LV"/>
        </w:rPr>
      </w:pPr>
    </w:p>
    <w:p w14:paraId="66FAEE28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EXP {mēnesis/gads}</w:t>
      </w:r>
    </w:p>
    <w:p w14:paraId="438F5C4F" w14:textId="1004EE08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 xml:space="preserve">Derīguma termiņš pēc pirmās </w:t>
      </w:r>
      <w:r w:rsidR="00B41614">
        <w:rPr>
          <w:rFonts w:asciiTheme="majorBidi" w:hAnsiTheme="majorBidi" w:cstheme="majorBidi"/>
          <w:szCs w:val="24"/>
          <w:lang w:val="lv-LV"/>
        </w:rPr>
        <w:t>tiešā iepakojuma</w:t>
      </w:r>
      <w:r w:rsidR="00B41614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>atvēršanas: 28 dienas</w:t>
      </w:r>
      <w:r w:rsidR="00B41614">
        <w:rPr>
          <w:rFonts w:asciiTheme="majorBidi" w:hAnsiTheme="majorBidi" w:cstheme="majorBidi"/>
          <w:szCs w:val="24"/>
          <w:lang w:val="lv-LV"/>
        </w:rPr>
        <w:t xml:space="preserve">. </w:t>
      </w:r>
    </w:p>
    <w:p w14:paraId="6DD50C20" w14:textId="282C647A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Pēc pirmreizējas caurduršanas izlietot līdz...</w:t>
      </w:r>
    </w:p>
    <w:p w14:paraId="213F2821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0EF34140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251ADDC3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11.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ĪPAŠI UZGLABĀŠANAS NOSACĪJUMI</w:t>
      </w:r>
    </w:p>
    <w:p w14:paraId="12BA4D72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1039CC75" w14:textId="7DB01C02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bookmarkStart w:id="1" w:name="_Hlk511730925"/>
      <w:r w:rsidRPr="00242AAA">
        <w:rPr>
          <w:rFonts w:asciiTheme="majorBidi" w:hAnsiTheme="majorBidi" w:cstheme="majorBidi"/>
          <w:szCs w:val="24"/>
          <w:lang w:val="lv-LV"/>
        </w:rPr>
        <w:t xml:space="preserve">Pēc pirmās tiešā iepakojuma atvēršanas uzglabāt temperatūrā </w:t>
      </w:r>
      <w:r w:rsidR="0033717D">
        <w:rPr>
          <w:rFonts w:asciiTheme="majorBidi" w:hAnsiTheme="majorBidi" w:cstheme="majorBidi"/>
          <w:szCs w:val="24"/>
          <w:lang w:val="lv-LV"/>
        </w:rPr>
        <w:t>līdz</w:t>
      </w:r>
      <w:r w:rsidR="0033717D" w:rsidRPr="00242AAA">
        <w:rPr>
          <w:rFonts w:asciiTheme="majorBidi" w:hAnsiTheme="majorBidi" w:cstheme="majorBidi"/>
          <w:szCs w:val="24"/>
          <w:lang w:val="lv-LV"/>
        </w:rPr>
        <w:t xml:space="preserve"> </w:t>
      </w:r>
      <w:r w:rsidRPr="00242AAA">
        <w:rPr>
          <w:rFonts w:asciiTheme="majorBidi" w:hAnsiTheme="majorBidi" w:cstheme="majorBidi"/>
          <w:szCs w:val="24"/>
          <w:lang w:val="lv-LV"/>
        </w:rPr>
        <w:t>25°C.</w:t>
      </w:r>
    </w:p>
    <w:bookmarkEnd w:id="1"/>
    <w:p w14:paraId="14656745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11376F7A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16BC51A5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12.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ĪPAŠI NORĀDĪJUMI NEIZLIETOTU VETERINĀRO ZĀĻU VAI TO ATKRITUMU IZNĪCINĀŠANAI</w:t>
      </w:r>
    </w:p>
    <w:p w14:paraId="5194F4DE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5A82BEE4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Atkritumu iznīcināšana: izlasiet lietošanas instrukciju.</w:t>
      </w:r>
    </w:p>
    <w:p w14:paraId="64E20D4A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4F24AF44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4D64A64F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Theme="majorBidi" w:hAnsiTheme="majorBidi" w:cstheme="majorBidi"/>
          <w:b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13.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VĀRDI “LIETOŠANAI DZĪVNIEKIEM” UN NOSACĪJUMI VAI IEROBEŽOJUMI ATTIECĪBĀ UZ PIEGĀDI UN LIETOŠANU, JA PIEMĒROJAMI</w:t>
      </w:r>
    </w:p>
    <w:p w14:paraId="294D000A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0A074339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Lietošanai dzīvniekiem. Recepšu veterinārās zāles.</w:t>
      </w:r>
    </w:p>
    <w:p w14:paraId="53AA8F0A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513E485A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5D6A76BE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14.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VĀRDI “UZGLABĀT BĒRNIEM NEREDZAMĀ UN NEPIEEJAMĀ VIETĀ”</w:t>
      </w:r>
    </w:p>
    <w:p w14:paraId="585A2CE4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167906D0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Uzglabāt bērniem neredzamā un nepieejamā vietā.</w:t>
      </w:r>
    </w:p>
    <w:p w14:paraId="3C072730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79773D2B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6E728790" w14:textId="77777777" w:rsidR="006568A2" w:rsidRPr="00242AAA" w:rsidRDefault="00D86C5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Bidi" w:hAnsiTheme="majorBidi" w:cstheme="majorBidi"/>
          <w:b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15.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REĢISTRĀCIJAS APLIECĪBAS ĪPAŠNIEKA NOSAUKUMS UN ADRESE</w:t>
      </w:r>
    </w:p>
    <w:p w14:paraId="3AC7A3B6" w14:textId="77777777" w:rsidR="006568A2" w:rsidRPr="00242AAA" w:rsidRDefault="006568A2">
      <w:pPr>
        <w:keepNext/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17E05576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Dechra Regulatory B.V.</w:t>
      </w:r>
    </w:p>
    <w:p w14:paraId="143B4944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Handelsweg 25</w:t>
      </w:r>
    </w:p>
    <w:p w14:paraId="41766E6D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5531 AE Bladel</w:t>
      </w:r>
    </w:p>
    <w:p w14:paraId="77771254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Nīderlande</w:t>
      </w:r>
    </w:p>
    <w:p w14:paraId="2E070C57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5F7127C4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130F72F5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16.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REĢISTRĀCIJAS APLIECĪBAS NUMURS(-I)</w:t>
      </w:r>
    </w:p>
    <w:p w14:paraId="52B9D1EE" w14:textId="77777777" w:rsidR="006568A2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396437F7" w14:textId="419C75AC" w:rsidR="00462385" w:rsidRPr="00242AAA" w:rsidRDefault="001017E7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1017E7">
        <w:rPr>
          <w:rFonts w:asciiTheme="majorBidi" w:hAnsiTheme="majorBidi" w:cstheme="majorBidi"/>
          <w:szCs w:val="24"/>
          <w:lang w:val="lv-LV"/>
        </w:rPr>
        <w:t>V/DCP/19/0030</w:t>
      </w:r>
    </w:p>
    <w:p w14:paraId="3DB788C1" w14:textId="459612AC" w:rsidR="006568A2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29572D2C" w14:textId="77777777" w:rsidR="00544B80" w:rsidRPr="00242AAA" w:rsidRDefault="00544B80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4506202A" w14:textId="77777777" w:rsidR="006568A2" w:rsidRPr="00242AAA" w:rsidRDefault="00D86C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b/>
          <w:szCs w:val="24"/>
          <w:lang w:val="lv-LV"/>
        </w:rPr>
        <w:t>17.</w:t>
      </w:r>
      <w:r w:rsidRPr="00242AAA">
        <w:rPr>
          <w:rFonts w:asciiTheme="majorBidi" w:hAnsiTheme="majorBidi" w:cstheme="majorBidi"/>
          <w:b/>
          <w:szCs w:val="24"/>
          <w:lang w:val="lv-LV"/>
        </w:rPr>
        <w:tab/>
        <w:t>RAŽOŠANAS SĒRIJAS NUMURS</w:t>
      </w:r>
    </w:p>
    <w:p w14:paraId="170CD31C" w14:textId="77777777" w:rsidR="006568A2" w:rsidRPr="00242AAA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620BA991" w14:textId="77777777" w:rsidR="006568A2" w:rsidRPr="00242AAA" w:rsidRDefault="00D86C5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  <w:r w:rsidRPr="00242AAA">
        <w:rPr>
          <w:rFonts w:asciiTheme="majorBidi" w:hAnsiTheme="majorBidi" w:cstheme="majorBidi"/>
          <w:szCs w:val="24"/>
          <w:lang w:val="lv-LV"/>
        </w:rPr>
        <w:t>Lot {numurs}</w:t>
      </w:r>
    </w:p>
    <w:p w14:paraId="4BC23301" w14:textId="4D6F5E89" w:rsidR="006568A2" w:rsidRDefault="006568A2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p w14:paraId="448A82F7" w14:textId="77777777" w:rsidR="00AA1C35" w:rsidRPr="00242AAA" w:rsidRDefault="00AA1C35">
      <w:pPr>
        <w:spacing w:after="0" w:line="240" w:lineRule="auto"/>
        <w:rPr>
          <w:rFonts w:asciiTheme="majorBidi" w:hAnsiTheme="majorBidi" w:cstheme="majorBidi"/>
          <w:szCs w:val="24"/>
          <w:lang w:val="lv-LV"/>
        </w:rPr>
      </w:pPr>
    </w:p>
    <w:sectPr w:rsidR="00AA1C35" w:rsidRPr="00242AAA" w:rsidSect="00CA7B77">
      <w:footerReference w:type="default" r:id="rId12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95A31A" w14:textId="77777777" w:rsidR="005A0871" w:rsidRDefault="005A0871">
      <w:pPr>
        <w:spacing w:after="0" w:line="240" w:lineRule="auto"/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4CA8BCB3" w14:textId="77777777" w:rsidR="005A0871" w:rsidRDefault="005A0871">
      <w:pPr>
        <w:spacing w:after="0" w:line="240" w:lineRule="auto"/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B5F60" w14:textId="77777777" w:rsidR="001822F6" w:rsidRDefault="001822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2C05A9" w14:textId="77777777" w:rsidR="005A0871" w:rsidRDefault="005A0871">
      <w:pPr>
        <w:spacing w:after="0" w:line="240" w:lineRule="auto"/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786B8B78" w14:textId="77777777" w:rsidR="005A0871" w:rsidRDefault="005A0871">
      <w:pPr>
        <w:spacing w:after="0" w:line="240" w:lineRule="auto"/>
        <w:rPr>
          <w:szCs w:val="24"/>
        </w:rPr>
      </w:pPr>
      <w:r>
        <w:rPr>
          <w:szCs w:val="2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AF0A31"/>
    <w:multiLevelType w:val="hybridMultilevel"/>
    <w:tmpl w:val="84A43108"/>
    <w:lvl w:ilvl="0" w:tplc="FFFFFFFF">
      <w:start w:val="1"/>
      <w:numFmt w:val="bullet"/>
      <w:lvlText w:val="-"/>
      <w:lvlJc w:val="left"/>
      <w:pPr>
        <w:ind w:left="825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removeDateAndTime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99E"/>
    <w:rsid w:val="0001269C"/>
    <w:rsid w:val="000202A3"/>
    <w:rsid w:val="00026394"/>
    <w:rsid w:val="0005121F"/>
    <w:rsid w:val="000633CE"/>
    <w:rsid w:val="00065C83"/>
    <w:rsid w:val="00067F48"/>
    <w:rsid w:val="000C2944"/>
    <w:rsid w:val="000E6843"/>
    <w:rsid w:val="001017E7"/>
    <w:rsid w:val="001258C5"/>
    <w:rsid w:val="0013163C"/>
    <w:rsid w:val="0015335B"/>
    <w:rsid w:val="0015357A"/>
    <w:rsid w:val="00174637"/>
    <w:rsid w:val="001822F6"/>
    <w:rsid w:val="001A1404"/>
    <w:rsid w:val="001C699E"/>
    <w:rsid w:val="00242AAA"/>
    <w:rsid w:val="002A41CE"/>
    <w:rsid w:val="002A6F0A"/>
    <w:rsid w:val="002E31A1"/>
    <w:rsid w:val="002E71E5"/>
    <w:rsid w:val="002F19BA"/>
    <w:rsid w:val="002F57E7"/>
    <w:rsid w:val="003365A5"/>
    <w:rsid w:val="0033717D"/>
    <w:rsid w:val="003421A2"/>
    <w:rsid w:val="00346ADA"/>
    <w:rsid w:val="00364F0D"/>
    <w:rsid w:val="00367B62"/>
    <w:rsid w:val="00371CBC"/>
    <w:rsid w:val="003E47F7"/>
    <w:rsid w:val="00462385"/>
    <w:rsid w:val="004C2302"/>
    <w:rsid w:val="004E2A36"/>
    <w:rsid w:val="004E4F4D"/>
    <w:rsid w:val="0050281E"/>
    <w:rsid w:val="00510610"/>
    <w:rsid w:val="00544B80"/>
    <w:rsid w:val="005A0871"/>
    <w:rsid w:val="005C32EA"/>
    <w:rsid w:val="005F7EED"/>
    <w:rsid w:val="00650847"/>
    <w:rsid w:val="00652155"/>
    <w:rsid w:val="00654232"/>
    <w:rsid w:val="006568A2"/>
    <w:rsid w:val="006611AD"/>
    <w:rsid w:val="006A3735"/>
    <w:rsid w:val="006B6568"/>
    <w:rsid w:val="006F5687"/>
    <w:rsid w:val="007125E4"/>
    <w:rsid w:val="00741E35"/>
    <w:rsid w:val="007B0C81"/>
    <w:rsid w:val="00800752"/>
    <w:rsid w:val="00832975"/>
    <w:rsid w:val="00851FCC"/>
    <w:rsid w:val="008A2CC8"/>
    <w:rsid w:val="008A515F"/>
    <w:rsid w:val="008B7F57"/>
    <w:rsid w:val="008F6822"/>
    <w:rsid w:val="00915C57"/>
    <w:rsid w:val="00971802"/>
    <w:rsid w:val="00986E51"/>
    <w:rsid w:val="00990389"/>
    <w:rsid w:val="009D0C4E"/>
    <w:rsid w:val="009F16EA"/>
    <w:rsid w:val="00A20529"/>
    <w:rsid w:val="00A646D2"/>
    <w:rsid w:val="00A67751"/>
    <w:rsid w:val="00A95684"/>
    <w:rsid w:val="00AA1C35"/>
    <w:rsid w:val="00AB2569"/>
    <w:rsid w:val="00AB3678"/>
    <w:rsid w:val="00AB5A90"/>
    <w:rsid w:val="00B17758"/>
    <w:rsid w:val="00B25DF5"/>
    <w:rsid w:val="00B26C88"/>
    <w:rsid w:val="00B41614"/>
    <w:rsid w:val="00B4371E"/>
    <w:rsid w:val="00B848B8"/>
    <w:rsid w:val="00B85C28"/>
    <w:rsid w:val="00B9153F"/>
    <w:rsid w:val="00BC5C4D"/>
    <w:rsid w:val="00C13DE2"/>
    <w:rsid w:val="00C476D8"/>
    <w:rsid w:val="00C503BB"/>
    <w:rsid w:val="00CA7B77"/>
    <w:rsid w:val="00CC5484"/>
    <w:rsid w:val="00D02D9E"/>
    <w:rsid w:val="00D04BE7"/>
    <w:rsid w:val="00D3288F"/>
    <w:rsid w:val="00D51F5D"/>
    <w:rsid w:val="00D67637"/>
    <w:rsid w:val="00D86C52"/>
    <w:rsid w:val="00DB5DDB"/>
    <w:rsid w:val="00DB634D"/>
    <w:rsid w:val="00E0053F"/>
    <w:rsid w:val="00E1092F"/>
    <w:rsid w:val="00E4739E"/>
    <w:rsid w:val="00E57A2C"/>
    <w:rsid w:val="00E918A5"/>
    <w:rsid w:val="00E94090"/>
    <w:rsid w:val="00EC6742"/>
    <w:rsid w:val="00EC7EEF"/>
    <w:rsid w:val="00EF0E77"/>
    <w:rsid w:val="00EF1DCB"/>
    <w:rsid w:val="00F1721E"/>
    <w:rsid w:val="00F95F77"/>
    <w:rsid w:val="00FD0B72"/>
    <w:rsid w:val="00FD248A"/>
    <w:rsid w:val="00FD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7957D33A"/>
  <w15:docId w15:val="{5323886C-4B7C-46E6-9A35-8A3F227A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68A2"/>
    <w:pPr>
      <w:spacing w:after="160" w:line="259" w:lineRule="auto"/>
    </w:pPr>
    <w:rPr>
      <w:rFonts w:cs="Times New Roman"/>
      <w:snapToGrid w:val="0"/>
      <w:sz w:val="22"/>
      <w:szCs w:val="22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568A2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68A2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656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568A2"/>
    <w:rPr>
      <w:rFonts w:cs="Times New Roman"/>
    </w:rPr>
  </w:style>
  <w:style w:type="paragraph" w:styleId="Footer">
    <w:name w:val="footer"/>
    <w:basedOn w:val="Normal"/>
    <w:link w:val="Emphasis"/>
    <w:uiPriority w:val="99"/>
    <w:rsid w:val="00656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ommentTextChar1">
    <w:name w:val="Comment Text Char1"/>
    <w:basedOn w:val="DefaultParagraphFont"/>
    <w:link w:val="CommentText"/>
    <w:uiPriority w:val="99"/>
    <w:locked/>
    <w:rsid w:val="006568A2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6568A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semiHidden/>
    <w:rsid w:val="006568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uiPriority w:val="99"/>
    <w:semiHidden/>
    <w:locked/>
    <w:rsid w:val="006568A2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568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568A2"/>
    <w:rPr>
      <w:rFonts w:cs="Times New Roman"/>
      <w:b/>
      <w:bCs/>
      <w:sz w:val="20"/>
      <w:szCs w:val="20"/>
    </w:rPr>
  </w:style>
  <w:style w:type="character" w:customStyle="1" w:styleId="tw4winMark">
    <w:name w:val="tw4winMark"/>
    <w:uiPriority w:val="99"/>
    <w:rsid w:val="006568A2"/>
    <w:rPr>
      <w:rFonts w:ascii="Courier New" w:hAnsi="Courier New"/>
      <w:vanish/>
      <w:color w:val="800080"/>
      <w:sz w:val="24"/>
      <w:vertAlign w:val="subscript"/>
    </w:rPr>
  </w:style>
  <w:style w:type="character" w:styleId="Emphasis">
    <w:name w:val="Emphasis"/>
    <w:aliases w:val="Footer Char"/>
    <w:basedOn w:val="DefaultParagraphFont"/>
    <w:link w:val="Footer"/>
    <w:uiPriority w:val="99"/>
    <w:qFormat/>
    <w:rsid w:val="006568A2"/>
    <w:rPr>
      <w:rFonts w:cs="Times New Roman"/>
      <w:i/>
      <w:iCs/>
    </w:rPr>
  </w:style>
  <w:style w:type="character" w:customStyle="1" w:styleId="tw4winError">
    <w:name w:val="tw4winError"/>
    <w:uiPriority w:val="99"/>
    <w:rsid w:val="006568A2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6568A2"/>
    <w:rPr>
      <w:color w:val="0000FF"/>
    </w:rPr>
  </w:style>
  <w:style w:type="character" w:customStyle="1" w:styleId="tw4winPopup">
    <w:name w:val="tw4winPopup"/>
    <w:uiPriority w:val="99"/>
    <w:rsid w:val="006568A2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6568A2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6568A2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6568A2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6568A2"/>
    <w:rPr>
      <w:rFonts w:ascii="Courier New" w:hAnsi="Courier New"/>
      <w:noProof/>
      <w:color w:val="8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3717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3717D"/>
    <w:rPr>
      <w:rFonts w:cs="Times New Roman"/>
      <w:snapToGrid w:val="0"/>
      <w:lang w:val="nl-NL"/>
    </w:rPr>
  </w:style>
  <w:style w:type="character" w:styleId="EndnoteReference">
    <w:name w:val="endnote reference"/>
    <w:basedOn w:val="DefaultParagraphFont"/>
    <w:uiPriority w:val="99"/>
    <w:semiHidden/>
    <w:unhideWhenUsed/>
    <w:rsid w:val="003371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45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E97F0-98B3-409E-B551-C529133F4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313</Words>
  <Characters>2249</Characters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