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1C11A" w14:textId="77777777" w:rsidR="00AB4A2F" w:rsidRDefault="00AB4A2F" w:rsidP="002349B3">
      <w:pPr>
        <w:pStyle w:val="TITLEA1"/>
        <w:jc w:val="left"/>
        <w:rPr>
          <w:rFonts w:asciiTheme="majorBidi" w:hAnsiTheme="majorBidi" w:cstheme="majorBidi"/>
          <w:bCs/>
        </w:rPr>
      </w:pPr>
    </w:p>
    <w:p w14:paraId="3CD703BB" w14:textId="2A2AAA1A" w:rsidR="00AB4A2F" w:rsidRDefault="00005938">
      <w:pPr>
        <w:tabs>
          <w:tab w:val="clear" w:pos="567"/>
        </w:tabs>
        <w:spacing w:line="240" w:lineRule="auto"/>
        <w:jc w:val="center"/>
        <w:rPr>
          <w:rFonts w:asciiTheme="majorBidi" w:hAnsiTheme="majorBidi" w:cstheme="majorBidi"/>
          <w:b/>
          <w:szCs w:val="22"/>
        </w:rPr>
      </w:pPr>
      <w:r>
        <w:rPr>
          <w:rFonts w:asciiTheme="majorBidi" w:hAnsiTheme="majorBidi" w:cstheme="majorBidi"/>
          <w:b/>
          <w:szCs w:val="22"/>
        </w:rPr>
        <w:t>LIETOŠANAS INSTRUKCIJ</w:t>
      </w:r>
      <w:r w:rsidR="00EF2D6B">
        <w:rPr>
          <w:rFonts w:asciiTheme="majorBidi" w:hAnsiTheme="majorBidi" w:cstheme="majorBidi"/>
          <w:b/>
          <w:szCs w:val="22"/>
        </w:rPr>
        <w:t>A</w:t>
      </w:r>
    </w:p>
    <w:p w14:paraId="1FB6FD38" w14:textId="77777777" w:rsidR="00AB4A2F" w:rsidRDefault="00AB4A2F">
      <w:pPr>
        <w:tabs>
          <w:tab w:val="clear" w:pos="567"/>
        </w:tabs>
        <w:spacing w:line="240" w:lineRule="auto"/>
        <w:rPr>
          <w:rFonts w:asciiTheme="majorBidi" w:hAnsiTheme="majorBidi" w:cstheme="majorBidi"/>
          <w:szCs w:val="22"/>
        </w:rPr>
      </w:pPr>
    </w:p>
    <w:p w14:paraId="4A1D107B" w14:textId="77777777" w:rsidR="00AB4A2F" w:rsidRDefault="00005938">
      <w:pPr>
        <w:pStyle w:val="Style1"/>
        <w:rPr>
          <w:rFonts w:asciiTheme="majorBidi" w:hAnsiTheme="majorBidi" w:cstheme="majorBidi"/>
        </w:rPr>
      </w:pPr>
      <w:r>
        <w:rPr>
          <w:rFonts w:asciiTheme="majorBidi" w:hAnsiTheme="majorBidi" w:cstheme="majorBidi"/>
          <w:highlight w:val="lightGray"/>
        </w:rPr>
        <w:t>1.</w:t>
      </w:r>
      <w:r>
        <w:rPr>
          <w:rFonts w:asciiTheme="majorBidi" w:hAnsiTheme="majorBidi" w:cstheme="majorBidi"/>
        </w:rPr>
        <w:tab/>
        <w:t>Veterināro zāļu nosaukums</w:t>
      </w:r>
    </w:p>
    <w:p w14:paraId="580E0EEE" w14:textId="77777777" w:rsidR="00AB4A2F" w:rsidRDefault="00AB4A2F">
      <w:pPr>
        <w:tabs>
          <w:tab w:val="clear" w:pos="567"/>
        </w:tabs>
        <w:spacing w:line="240" w:lineRule="auto"/>
        <w:rPr>
          <w:rFonts w:asciiTheme="majorBidi" w:hAnsiTheme="majorBidi" w:cstheme="majorBidi"/>
          <w:szCs w:val="22"/>
        </w:rPr>
      </w:pPr>
    </w:p>
    <w:p w14:paraId="2E5FAEE8" w14:textId="7B3CCE5A" w:rsidR="00AB4A2F" w:rsidRDefault="00005938">
      <w:pPr>
        <w:tabs>
          <w:tab w:val="clear" w:pos="567"/>
        </w:tabs>
        <w:spacing w:line="240" w:lineRule="auto"/>
        <w:rPr>
          <w:rFonts w:asciiTheme="majorBidi" w:hAnsiTheme="majorBidi" w:cstheme="majorBidi"/>
          <w:szCs w:val="22"/>
        </w:rPr>
      </w:pPr>
      <w:r w:rsidRPr="00537DDB">
        <w:rPr>
          <w:rFonts w:asciiTheme="majorBidi" w:hAnsiTheme="majorBidi" w:cstheme="majorBidi"/>
          <w:bCs/>
          <w:szCs w:val="22"/>
        </w:rPr>
        <w:t>Poulvac IB QX</w:t>
      </w:r>
      <w:r>
        <w:rPr>
          <w:rFonts w:asciiTheme="majorBidi" w:hAnsiTheme="majorBidi" w:cstheme="majorBidi"/>
          <w:szCs w:val="22"/>
        </w:rPr>
        <w:t xml:space="preserve"> liofilizāts </w:t>
      </w:r>
      <w:r w:rsidR="00082B4D">
        <w:rPr>
          <w:szCs w:val="22"/>
        </w:rPr>
        <w:t>okulonazālas</w:t>
      </w:r>
      <w:r w:rsidR="00082B4D">
        <w:rPr>
          <w:rFonts w:asciiTheme="majorBidi" w:hAnsiTheme="majorBidi" w:cstheme="majorBidi"/>
          <w:szCs w:val="22"/>
        </w:rPr>
        <w:t xml:space="preserve"> </w:t>
      </w:r>
      <w:r>
        <w:rPr>
          <w:rFonts w:asciiTheme="majorBidi" w:hAnsiTheme="majorBidi" w:cstheme="majorBidi"/>
          <w:szCs w:val="22"/>
        </w:rPr>
        <w:t>suspensijas pagatavošanai vistām</w:t>
      </w:r>
    </w:p>
    <w:p w14:paraId="27C5CA15" w14:textId="77777777" w:rsidR="00AB4A2F" w:rsidRDefault="00AB4A2F">
      <w:pPr>
        <w:tabs>
          <w:tab w:val="clear" w:pos="567"/>
        </w:tabs>
        <w:spacing w:line="240" w:lineRule="auto"/>
        <w:rPr>
          <w:rFonts w:asciiTheme="majorBidi" w:hAnsiTheme="majorBidi" w:cstheme="majorBidi"/>
          <w:szCs w:val="22"/>
        </w:rPr>
      </w:pPr>
    </w:p>
    <w:p w14:paraId="69E64C43" w14:textId="77777777" w:rsidR="00AB4A2F" w:rsidRDefault="00AB4A2F">
      <w:pPr>
        <w:tabs>
          <w:tab w:val="clear" w:pos="567"/>
        </w:tabs>
        <w:spacing w:line="240" w:lineRule="auto"/>
        <w:rPr>
          <w:rFonts w:asciiTheme="majorBidi" w:hAnsiTheme="majorBidi" w:cstheme="majorBidi"/>
          <w:szCs w:val="22"/>
        </w:rPr>
      </w:pPr>
    </w:p>
    <w:p w14:paraId="43088EDD" w14:textId="77777777" w:rsidR="00AB4A2F" w:rsidRDefault="00005938">
      <w:pPr>
        <w:pStyle w:val="Style1"/>
        <w:rPr>
          <w:rFonts w:asciiTheme="majorBidi" w:hAnsiTheme="majorBidi" w:cstheme="majorBidi"/>
        </w:rPr>
      </w:pPr>
      <w:r>
        <w:rPr>
          <w:rFonts w:asciiTheme="majorBidi" w:hAnsiTheme="majorBidi" w:cstheme="majorBidi"/>
          <w:highlight w:val="lightGray"/>
        </w:rPr>
        <w:t>2.</w:t>
      </w:r>
      <w:r>
        <w:rPr>
          <w:rFonts w:asciiTheme="majorBidi" w:hAnsiTheme="majorBidi" w:cstheme="majorBidi"/>
        </w:rPr>
        <w:tab/>
        <w:t>Sastāvs</w:t>
      </w:r>
    </w:p>
    <w:p w14:paraId="3A5D9D09" w14:textId="77777777" w:rsidR="00AB4A2F" w:rsidRDefault="00AB4A2F">
      <w:pPr>
        <w:tabs>
          <w:tab w:val="clear" w:pos="567"/>
        </w:tabs>
        <w:spacing w:line="240" w:lineRule="auto"/>
        <w:rPr>
          <w:rFonts w:asciiTheme="majorBidi" w:hAnsiTheme="majorBidi" w:cstheme="majorBidi"/>
          <w:iCs/>
          <w:szCs w:val="22"/>
        </w:rPr>
      </w:pPr>
    </w:p>
    <w:p w14:paraId="345E3990" w14:textId="66C54CE7" w:rsidR="00AB4A2F" w:rsidRDefault="00082B4D">
      <w:pPr>
        <w:tabs>
          <w:tab w:val="clear" w:pos="567"/>
        </w:tabs>
        <w:spacing w:line="240" w:lineRule="auto"/>
        <w:rPr>
          <w:rFonts w:asciiTheme="majorBidi" w:hAnsiTheme="majorBidi" w:cstheme="majorBidi"/>
          <w:b/>
          <w:szCs w:val="22"/>
        </w:rPr>
      </w:pPr>
      <w:r>
        <w:rPr>
          <w:rFonts w:asciiTheme="majorBidi" w:hAnsiTheme="majorBidi" w:cstheme="majorBidi"/>
          <w:szCs w:val="22"/>
        </w:rPr>
        <w:t xml:space="preserve">Katra </w:t>
      </w:r>
      <w:r w:rsidR="00005938">
        <w:rPr>
          <w:rFonts w:asciiTheme="majorBidi" w:hAnsiTheme="majorBidi" w:cstheme="majorBidi"/>
          <w:szCs w:val="22"/>
        </w:rPr>
        <w:t>deva satur:</w:t>
      </w:r>
    </w:p>
    <w:p w14:paraId="1DD3143E" w14:textId="77777777" w:rsidR="00AB4A2F" w:rsidRDefault="00AB4A2F">
      <w:pPr>
        <w:tabs>
          <w:tab w:val="clear" w:pos="567"/>
        </w:tabs>
        <w:spacing w:line="240" w:lineRule="auto"/>
        <w:rPr>
          <w:rFonts w:asciiTheme="majorBidi" w:hAnsiTheme="majorBidi" w:cstheme="majorBidi"/>
          <w:bCs/>
          <w:szCs w:val="22"/>
        </w:rPr>
      </w:pPr>
    </w:p>
    <w:p w14:paraId="45BC5A93" w14:textId="77777777" w:rsidR="00AB4A2F" w:rsidRDefault="00005938">
      <w:pPr>
        <w:tabs>
          <w:tab w:val="clear" w:pos="567"/>
        </w:tabs>
        <w:spacing w:line="240" w:lineRule="auto"/>
        <w:rPr>
          <w:rFonts w:asciiTheme="majorBidi" w:hAnsiTheme="majorBidi" w:cstheme="majorBidi"/>
          <w:b/>
          <w:szCs w:val="22"/>
        </w:rPr>
      </w:pPr>
      <w:r>
        <w:rPr>
          <w:rFonts w:asciiTheme="majorBidi" w:hAnsiTheme="majorBidi" w:cstheme="majorBidi"/>
          <w:b/>
          <w:szCs w:val="22"/>
        </w:rPr>
        <w:t>Aktīvā viela:</w:t>
      </w:r>
    </w:p>
    <w:p w14:paraId="65EBA140" w14:textId="5A68527A"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Dzīvs</w:t>
      </w:r>
      <w:r w:rsidR="00DD0868">
        <w:rPr>
          <w:rFonts w:asciiTheme="majorBidi" w:hAnsiTheme="majorBidi" w:cstheme="majorBidi"/>
          <w:szCs w:val="22"/>
        </w:rPr>
        <w:t>,</w:t>
      </w:r>
      <w:r>
        <w:rPr>
          <w:rFonts w:asciiTheme="majorBidi" w:hAnsiTheme="majorBidi" w:cstheme="majorBidi"/>
          <w:szCs w:val="22"/>
        </w:rPr>
        <w:t xml:space="preserve"> novājināts putnu infekciozā bronhīta vīruss, celms L1148</w:t>
      </w:r>
      <w:r>
        <w:rPr>
          <w:rFonts w:asciiTheme="majorBidi" w:hAnsiTheme="majorBidi" w:cstheme="majorBidi"/>
          <w:szCs w:val="22"/>
        </w:rPr>
        <w:tab/>
        <w:t>10</w:t>
      </w:r>
      <w:r>
        <w:rPr>
          <w:rFonts w:asciiTheme="majorBidi" w:hAnsiTheme="majorBidi" w:cstheme="majorBidi"/>
          <w:szCs w:val="22"/>
          <w:vertAlign w:val="superscript"/>
        </w:rPr>
        <w:t>3,0</w:t>
      </w:r>
      <w:r>
        <w:rPr>
          <w:rFonts w:asciiTheme="majorBidi" w:hAnsiTheme="majorBidi" w:cstheme="majorBidi"/>
          <w:szCs w:val="22"/>
        </w:rPr>
        <w:t xml:space="preserve"> –10</w:t>
      </w:r>
      <w:r>
        <w:rPr>
          <w:rFonts w:asciiTheme="majorBidi" w:hAnsiTheme="majorBidi" w:cstheme="majorBidi"/>
          <w:szCs w:val="22"/>
          <w:vertAlign w:val="superscript"/>
        </w:rPr>
        <w:t>5,0</w:t>
      </w:r>
      <w:r>
        <w:rPr>
          <w:rFonts w:asciiTheme="majorBidi" w:hAnsiTheme="majorBidi" w:cstheme="majorBidi"/>
          <w:szCs w:val="22"/>
        </w:rPr>
        <w:t xml:space="preserve"> EID</w:t>
      </w:r>
      <w:r>
        <w:rPr>
          <w:rFonts w:asciiTheme="majorBidi" w:hAnsiTheme="majorBidi" w:cstheme="majorBidi"/>
          <w:szCs w:val="22"/>
          <w:vertAlign w:val="subscript"/>
        </w:rPr>
        <w:t>50</w:t>
      </w:r>
      <w:r>
        <w:rPr>
          <w:rFonts w:asciiTheme="majorBidi" w:hAnsiTheme="majorBidi" w:cstheme="majorBidi"/>
          <w:szCs w:val="22"/>
          <w:vertAlign w:val="superscript"/>
        </w:rPr>
        <w:t>*</w:t>
      </w:r>
      <w:r>
        <w:rPr>
          <w:rFonts w:asciiTheme="majorBidi" w:hAnsiTheme="majorBidi" w:cstheme="majorBidi"/>
          <w:szCs w:val="22"/>
        </w:rPr>
        <w:t>.</w:t>
      </w:r>
    </w:p>
    <w:p w14:paraId="1B960B04"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EID50 = 50% embriju inficējošā deva.</w:t>
      </w:r>
    </w:p>
    <w:p w14:paraId="6631481B" w14:textId="768A31A5" w:rsidR="00AB4A2F" w:rsidRDefault="00AB4A2F">
      <w:pPr>
        <w:tabs>
          <w:tab w:val="clear" w:pos="567"/>
        </w:tabs>
        <w:spacing w:line="240" w:lineRule="auto"/>
        <w:rPr>
          <w:rFonts w:asciiTheme="majorBidi" w:hAnsiTheme="majorBidi" w:cstheme="majorBidi"/>
          <w:szCs w:val="22"/>
        </w:rPr>
      </w:pPr>
    </w:p>
    <w:p w14:paraId="2E9F8040" w14:textId="3A241DA6" w:rsidR="00C57C88" w:rsidRDefault="00DD0868">
      <w:pPr>
        <w:tabs>
          <w:tab w:val="clear" w:pos="567"/>
        </w:tabs>
        <w:spacing w:line="240" w:lineRule="auto"/>
        <w:rPr>
          <w:rFonts w:asciiTheme="majorBidi" w:hAnsiTheme="majorBidi" w:cstheme="majorBidi"/>
          <w:szCs w:val="22"/>
        </w:rPr>
      </w:pPr>
      <w:r>
        <w:rPr>
          <w:rFonts w:asciiTheme="majorBidi" w:hAnsiTheme="majorBidi" w:cstheme="majorBidi"/>
          <w:szCs w:val="22"/>
        </w:rPr>
        <w:t>Gandrīz balts, bēšs</w:t>
      </w:r>
      <w:r w:rsidR="00082B4D">
        <w:rPr>
          <w:rFonts w:asciiTheme="majorBidi" w:hAnsiTheme="majorBidi" w:cstheme="majorBidi"/>
          <w:szCs w:val="22"/>
        </w:rPr>
        <w:t xml:space="preserve"> liofilizāts</w:t>
      </w:r>
      <w:r w:rsidR="00C57C88">
        <w:rPr>
          <w:rFonts w:asciiTheme="majorBidi" w:hAnsiTheme="majorBidi" w:cstheme="majorBidi"/>
          <w:szCs w:val="22"/>
        </w:rPr>
        <w:t>.</w:t>
      </w:r>
    </w:p>
    <w:p w14:paraId="3F385E8F" w14:textId="77777777" w:rsidR="00C57C88" w:rsidRDefault="00C57C88">
      <w:pPr>
        <w:tabs>
          <w:tab w:val="clear" w:pos="567"/>
        </w:tabs>
        <w:spacing w:line="240" w:lineRule="auto"/>
        <w:rPr>
          <w:rFonts w:asciiTheme="majorBidi" w:hAnsiTheme="majorBidi" w:cstheme="majorBidi"/>
          <w:szCs w:val="22"/>
        </w:rPr>
      </w:pPr>
    </w:p>
    <w:p w14:paraId="0BA821BB" w14:textId="77777777" w:rsidR="00AB4A2F" w:rsidRDefault="00AB4A2F">
      <w:pPr>
        <w:tabs>
          <w:tab w:val="clear" w:pos="567"/>
        </w:tabs>
        <w:spacing w:line="240" w:lineRule="auto"/>
        <w:rPr>
          <w:rFonts w:asciiTheme="majorBidi" w:hAnsiTheme="majorBidi" w:cstheme="majorBidi"/>
          <w:szCs w:val="22"/>
        </w:rPr>
      </w:pPr>
    </w:p>
    <w:p w14:paraId="4C22C851" w14:textId="77777777" w:rsidR="00AB4A2F" w:rsidRDefault="00005938">
      <w:pPr>
        <w:pStyle w:val="Style1"/>
        <w:rPr>
          <w:rFonts w:asciiTheme="majorBidi" w:hAnsiTheme="majorBidi" w:cstheme="majorBidi"/>
        </w:rPr>
      </w:pPr>
      <w:r>
        <w:rPr>
          <w:rFonts w:asciiTheme="majorBidi" w:hAnsiTheme="majorBidi" w:cstheme="majorBidi"/>
          <w:highlight w:val="lightGray"/>
        </w:rPr>
        <w:t>3.</w:t>
      </w:r>
      <w:r>
        <w:rPr>
          <w:rFonts w:asciiTheme="majorBidi" w:hAnsiTheme="majorBidi" w:cstheme="majorBidi"/>
        </w:rPr>
        <w:tab/>
        <w:t>Mērķsugas</w:t>
      </w:r>
    </w:p>
    <w:p w14:paraId="6D6BACE8" w14:textId="77777777" w:rsidR="00AB4A2F" w:rsidRDefault="00AB4A2F">
      <w:pPr>
        <w:tabs>
          <w:tab w:val="clear" w:pos="567"/>
        </w:tabs>
        <w:spacing w:line="240" w:lineRule="auto"/>
        <w:rPr>
          <w:rFonts w:asciiTheme="majorBidi" w:hAnsiTheme="majorBidi" w:cstheme="majorBidi"/>
          <w:szCs w:val="22"/>
        </w:rPr>
      </w:pPr>
    </w:p>
    <w:p w14:paraId="56D5262F"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Vistas.</w:t>
      </w:r>
    </w:p>
    <w:p w14:paraId="4A26B41D" w14:textId="77777777" w:rsidR="00AB4A2F" w:rsidRDefault="00AB4A2F">
      <w:pPr>
        <w:tabs>
          <w:tab w:val="clear" w:pos="567"/>
        </w:tabs>
        <w:spacing w:line="240" w:lineRule="auto"/>
        <w:rPr>
          <w:rFonts w:asciiTheme="majorBidi" w:hAnsiTheme="majorBidi" w:cstheme="majorBidi"/>
          <w:szCs w:val="22"/>
        </w:rPr>
      </w:pPr>
    </w:p>
    <w:p w14:paraId="49D88A9C" w14:textId="77777777" w:rsidR="00AB4A2F" w:rsidRDefault="00AB4A2F">
      <w:pPr>
        <w:tabs>
          <w:tab w:val="clear" w:pos="567"/>
        </w:tabs>
        <w:spacing w:line="240" w:lineRule="auto"/>
        <w:rPr>
          <w:rFonts w:asciiTheme="majorBidi" w:hAnsiTheme="majorBidi" w:cstheme="majorBidi"/>
          <w:szCs w:val="22"/>
        </w:rPr>
      </w:pPr>
    </w:p>
    <w:p w14:paraId="134A66DB" w14:textId="77777777" w:rsidR="00AB4A2F" w:rsidRDefault="00005938">
      <w:pPr>
        <w:pStyle w:val="Style1"/>
        <w:rPr>
          <w:rFonts w:asciiTheme="majorBidi" w:hAnsiTheme="majorBidi" w:cstheme="majorBidi"/>
        </w:rPr>
      </w:pPr>
      <w:r>
        <w:rPr>
          <w:rFonts w:asciiTheme="majorBidi" w:hAnsiTheme="majorBidi" w:cstheme="majorBidi"/>
          <w:highlight w:val="lightGray"/>
        </w:rPr>
        <w:t>4.</w:t>
      </w:r>
      <w:r>
        <w:rPr>
          <w:rFonts w:asciiTheme="majorBidi" w:hAnsiTheme="majorBidi" w:cstheme="majorBidi"/>
        </w:rPr>
        <w:tab/>
        <w:t>Lietošanas indikācijas</w:t>
      </w:r>
    </w:p>
    <w:p w14:paraId="28588D6B" w14:textId="77777777" w:rsidR="00AB4A2F" w:rsidRDefault="00AB4A2F">
      <w:pPr>
        <w:tabs>
          <w:tab w:val="clear" w:pos="567"/>
        </w:tabs>
        <w:spacing w:line="240" w:lineRule="auto"/>
        <w:rPr>
          <w:rFonts w:asciiTheme="majorBidi" w:hAnsiTheme="majorBidi" w:cstheme="majorBidi"/>
          <w:szCs w:val="22"/>
        </w:rPr>
      </w:pPr>
    </w:p>
    <w:p w14:paraId="6835FBA4"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Vistu aktīvai imunizācijai, lai mazinātu infekciozā bronhīta elpošanas traucējumu pazīmes, ko izraisījuši infekciozā bronhīta vīrusa QX līdzīgie varianti.</w:t>
      </w:r>
    </w:p>
    <w:p w14:paraId="7A039E23" w14:textId="77777777" w:rsidR="00AB4A2F" w:rsidRDefault="00AB4A2F">
      <w:pPr>
        <w:tabs>
          <w:tab w:val="clear" w:pos="567"/>
        </w:tabs>
        <w:spacing w:line="240" w:lineRule="auto"/>
        <w:rPr>
          <w:rFonts w:asciiTheme="majorBidi" w:hAnsiTheme="majorBidi" w:cstheme="majorBidi"/>
          <w:szCs w:val="22"/>
        </w:rPr>
      </w:pPr>
    </w:p>
    <w:p w14:paraId="77D6A391"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Imunitātes iestāšanās: 3 nedēļas pēc vakcinācijas. </w:t>
      </w:r>
    </w:p>
    <w:p w14:paraId="004DDF73"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Imunitātes ilgums: 63 dienas pēc vakcinācijas.</w:t>
      </w:r>
    </w:p>
    <w:p w14:paraId="4681F64D" w14:textId="77777777" w:rsidR="00AB4A2F" w:rsidRDefault="00AB4A2F">
      <w:pPr>
        <w:tabs>
          <w:tab w:val="clear" w:pos="567"/>
        </w:tabs>
        <w:spacing w:line="240" w:lineRule="auto"/>
        <w:rPr>
          <w:rFonts w:asciiTheme="majorBidi" w:hAnsiTheme="majorBidi" w:cstheme="majorBidi"/>
          <w:szCs w:val="22"/>
        </w:rPr>
      </w:pPr>
    </w:p>
    <w:p w14:paraId="02D2B24F" w14:textId="77777777" w:rsidR="00AB4A2F" w:rsidRDefault="00AB4A2F">
      <w:pPr>
        <w:tabs>
          <w:tab w:val="clear" w:pos="567"/>
        </w:tabs>
        <w:spacing w:line="240" w:lineRule="auto"/>
        <w:rPr>
          <w:rFonts w:asciiTheme="majorBidi" w:hAnsiTheme="majorBidi" w:cstheme="majorBidi"/>
          <w:szCs w:val="22"/>
        </w:rPr>
      </w:pPr>
    </w:p>
    <w:p w14:paraId="680F2364" w14:textId="77777777" w:rsidR="00AB4A2F" w:rsidRDefault="00005938">
      <w:pPr>
        <w:pStyle w:val="Style1"/>
        <w:rPr>
          <w:rFonts w:asciiTheme="majorBidi" w:hAnsiTheme="majorBidi" w:cstheme="majorBidi"/>
        </w:rPr>
      </w:pPr>
      <w:r>
        <w:rPr>
          <w:rFonts w:asciiTheme="majorBidi" w:hAnsiTheme="majorBidi" w:cstheme="majorBidi"/>
          <w:highlight w:val="lightGray"/>
        </w:rPr>
        <w:t>5.</w:t>
      </w:r>
      <w:r>
        <w:rPr>
          <w:rFonts w:asciiTheme="majorBidi" w:hAnsiTheme="majorBidi" w:cstheme="majorBidi"/>
        </w:rPr>
        <w:tab/>
        <w:t>Kontrindikācijas</w:t>
      </w:r>
    </w:p>
    <w:p w14:paraId="27CD90FE" w14:textId="77777777" w:rsidR="00AB4A2F" w:rsidRDefault="00AB4A2F">
      <w:pPr>
        <w:tabs>
          <w:tab w:val="clear" w:pos="567"/>
        </w:tabs>
        <w:spacing w:line="240" w:lineRule="auto"/>
        <w:rPr>
          <w:rFonts w:asciiTheme="majorBidi" w:hAnsiTheme="majorBidi" w:cstheme="majorBidi"/>
          <w:szCs w:val="22"/>
        </w:rPr>
      </w:pPr>
    </w:p>
    <w:p w14:paraId="14402CB4"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Nav.</w:t>
      </w:r>
    </w:p>
    <w:p w14:paraId="7CFFB35A" w14:textId="77777777" w:rsidR="00AB4A2F" w:rsidRDefault="00AB4A2F">
      <w:pPr>
        <w:tabs>
          <w:tab w:val="clear" w:pos="567"/>
        </w:tabs>
        <w:spacing w:line="240" w:lineRule="auto"/>
        <w:rPr>
          <w:rFonts w:asciiTheme="majorBidi" w:hAnsiTheme="majorBidi" w:cstheme="majorBidi"/>
          <w:szCs w:val="22"/>
        </w:rPr>
      </w:pPr>
    </w:p>
    <w:p w14:paraId="78908C36" w14:textId="77777777" w:rsidR="00AB4A2F" w:rsidRDefault="00AB4A2F">
      <w:pPr>
        <w:tabs>
          <w:tab w:val="clear" w:pos="567"/>
        </w:tabs>
        <w:spacing w:line="240" w:lineRule="auto"/>
        <w:rPr>
          <w:rFonts w:asciiTheme="majorBidi" w:hAnsiTheme="majorBidi" w:cstheme="majorBidi"/>
          <w:szCs w:val="22"/>
        </w:rPr>
      </w:pPr>
    </w:p>
    <w:p w14:paraId="5C5FF205" w14:textId="77777777" w:rsidR="00AB4A2F" w:rsidRDefault="00005938">
      <w:pPr>
        <w:pStyle w:val="Style1"/>
        <w:rPr>
          <w:rFonts w:asciiTheme="majorBidi" w:hAnsiTheme="majorBidi" w:cstheme="majorBidi"/>
        </w:rPr>
      </w:pPr>
      <w:r>
        <w:rPr>
          <w:rFonts w:asciiTheme="majorBidi" w:hAnsiTheme="majorBidi" w:cstheme="majorBidi"/>
          <w:highlight w:val="lightGray"/>
        </w:rPr>
        <w:t>6.</w:t>
      </w:r>
      <w:r>
        <w:rPr>
          <w:rFonts w:asciiTheme="majorBidi" w:hAnsiTheme="majorBidi" w:cstheme="majorBidi"/>
        </w:rPr>
        <w:tab/>
        <w:t>Īpaši brīdinājumi</w:t>
      </w:r>
    </w:p>
    <w:p w14:paraId="67D49423" w14:textId="77777777" w:rsidR="00AB4A2F" w:rsidRDefault="00AB4A2F">
      <w:pPr>
        <w:tabs>
          <w:tab w:val="clear" w:pos="567"/>
        </w:tabs>
        <w:spacing w:line="240" w:lineRule="auto"/>
        <w:rPr>
          <w:rFonts w:asciiTheme="majorBidi" w:hAnsiTheme="majorBidi" w:cstheme="majorBidi"/>
          <w:szCs w:val="22"/>
        </w:rPr>
      </w:pPr>
    </w:p>
    <w:p w14:paraId="0255F649" w14:textId="3C908928" w:rsidR="00167B0C" w:rsidRPr="00005938" w:rsidRDefault="00C57C88">
      <w:pPr>
        <w:tabs>
          <w:tab w:val="clear" w:pos="567"/>
        </w:tabs>
        <w:spacing w:line="240" w:lineRule="auto"/>
        <w:rPr>
          <w:rFonts w:asciiTheme="majorBidi" w:hAnsiTheme="majorBidi" w:cstheme="majorBidi"/>
          <w:szCs w:val="22"/>
          <w:u w:val="single"/>
        </w:rPr>
      </w:pPr>
      <w:r w:rsidRPr="00E57A7D">
        <w:rPr>
          <w:szCs w:val="22"/>
          <w:u w:val="single"/>
        </w:rPr>
        <w:t>Īpaši brīdinājumi</w:t>
      </w:r>
      <w:r w:rsidRPr="00E57A7D">
        <w:t>:</w:t>
      </w:r>
    </w:p>
    <w:p w14:paraId="07BDF3BB"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Vakcīnas vīrusa celms ir spējīgs izplatīties arī uz citiem putniem kontakta ceļā vismaz 14 dienas pēc vakcinācijas, tāpēc jāievēro īpaša piesardzība, lai nošķirtu vakcinētos cāļus no nevakcinētajiem. Jāveic profilakses pasākumi, lai novērstu vakcīnas vīrusa celma izplatību savvaļā. Pēc vakcinācijas ir ieteicams izmazgāt un nodezinficēt telpas.</w:t>
      </w:r>
    </w:p>
    <w:p w14:paraId="1D3BFA7E" w14:textId="77777777" w:rsidR="00AB4A2F" w:rsidRDefault="00AB4A2F">
      <w:pPr>
        <w:tabs>
          <w:tab w:val="clear" w:pos="567"/>
        </w:tabs>
        <w:spacing w:line="240" w:lineRule="auto"/>
        <w:rPr>
          <w:rFonts w:asciiTheme="majorBidi" w:hAnsiTheme="majorBidi" w:cstheme="majorBidi"/>
          <w:szCs w:val="22"/>
        </w:rPr>
      </w:pPr>
    </w:p>
    <w:p w14:paraId="7D7A48AF" w14:textId="77777777" w:rsidR="00C57C88"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Šo vakcīnu lietot tikai pēc tam, kad ir noskaidrots, ka QX līdzīgais infekciozā bronhīta vīrusa (IBV) varianta celms ir epidemioloģiski nozīmīgs.</w:t>
      </w:r>
    </w:p>
    <w:p w14:paraId="21057809" w14:textId="0FEA8ACB" w:rsidR="00AB4A2F" w:rsidRDefault="00AB4A2F">
      <w:pPr>
        <w:tabs>
          <w:tab w:val="clear" w:pos="567"/>
        </w:tabs>
        <w:spacing w:line="240" w:lineRule="auto"/>
        <w:rPr>
          <w:rFonts w:asciiTheme="majorBidi" w:hAnsiTheme="majorBidi" w:cstheme="majorBidi"/>
          <w:szCs w:val="22"/>
        </w:rPr>
      </w:pPr>
    </w:p>
    <w:p w14:paraId="69DAB6F3" w14:textId="57434D19"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Ir svarīgi izvairīties no IB QX vakcīnas vīrusa celma izplatīšanās telpās, kur savvaļas tipa celms nav atklāts. IB QX vakcīnu drīkst izmantot inkubatoros tikai tad, ja tiek veikta pietiekama kontrole, lai izvairītos no vakcīnas celma izplatīšanās uz putniem, kas tiks transportēti uz putnu novietnēm, kurās putni nav pakļauti IB QX vakcīnas iedarbībai.</w:t>
      </w:r>
    </w:p>
    <w:p w14:paraId="4BF19BA9" w14:textId="77777777" w:rsidR="00C57C88" w:rsidRDefault="00C57C88">
      <w:pPr>
        <w:tabs>
          <w:tab w:val="clear" w:pos="567"/>
        </w:tabs>
        <w:spacing w:line="240" w:lineRule="auto"/>
        <w:rPr>
          <w:rFonts w:asciiTheme="majorBidi" w:hAnsiTheme="majorBidi" w:cstheme="majorBidi"/>
          <w:szCs w:val="22"/>
        </w:rPr>
      </w:pPr>
    </w:p>
    <w:p w14:paraId="06A985A3" w14:textId="7F5622DF" w:rsidR="00AB4A2F" w:rsidRDefault="00005938">
      <w:pPr>
        <w:tabs>
          <w:tab w:val="clear" w:pos="567"/>
        </w:tabs>
        <w:spacing w:line="240" w:lineRule="auto"/>
        <w:rPr>
          <w:rFonts w:asciiTheme="majorBidi" w:hAnsiTheme="majorBidi" w:cstheme="majorBidi"/>
          <w:i/>
          <w:szCs w:val="22"/>
        </w:rPr>
      </w:pPr>
      <w:r>
        <w:rPr>
          <w:rFonts w:asciiTheme="majorBidi" w:hAnsiTheme="majorBidi" w:cstheme="majorBidi"/>
          <w:szCs w:val="22"/>
        </w:rPr>
        <w:t>Ir pierādīts, ka vakcīna nodrošina aizsardzību pret QX līdzīgo variantu.</w:t>
      </w:r>
      <w:r>
        <w:rPr>
          <w:rFonts w:asciiTheme="majorBidi" w:hAnsiTheme="majorBidi" w:cstheme="majorBidi"/>
          <w:i/>
          <w:szCs w:val="22"/>
        </w:rPr>
        <w:t xml:space="preserve"> </w:t>
      </w:r>
      <w:r>
        <w:rPr>
          <w:rFonts w:asciiTheme="majorBidi" w:hAnsiTheme="majorBidi" w:cstheme="majorBidi"/>
          <w:szCs w:val="22"/>
        </w:rPr>
        <w:t>Aizsardzība pret citiem cirkulējošiem IB celmiem nav pētīta.</w:t>
      </w:r>
    </w:p>
    <w:p w14:paraId="4834A68C" w14:textId="77777777" w:rsidR="00167B0C" w:rsidRPr="00F44584" w:rsidRDefault="00167B0C">
      <w:pPr>
        <w:tabs>
          <w:tab w:val="clear" w:pos="567"/>
        </w:tabs>
        <w:spacing w:line="240" w:lineRule="auto"/>
        <w:rPr>
          <w:rFonts w:asciiTheme="majorBidi" w:hAnsiTheme="majorBidi" w:cstheme="majorBidi"/>
          <w:iCs/>
          <w:szCs w:val="22"/>
        </w:rPr>
      </w:pPr>
    </w:p>
    <w:p w14:paraId="358CFDF1" w14:textId="77777777" w:rsidR="00082B4D" w:rsidRDefault="00082B4D" w:rsidP="00082B4D">
      <w:pPr>
        <w:tabs>
          <w:tab w:val="clear" w:pos="567"/>
        </w:tabs>
        <w:spacing w:line="240" w:lineRule="auto"/>
        <w:rPr>
          <w:rFonts w:asciiTheme="majorBidi" w:hAnsiTheme="majorBidi" w:cstheme="majorBidi"/>
          <w:szCs w:val="22"/>
        </w:rPr>
      </w:pPr>
      <w:r>
        <w:rPr>
          <w:rFonts w:asciiTheme="majorBidi" w:hAnsiTheme="majorBidi" w:cstheme="majorBidi"/>
          <w:szCs w:val="22"/>
        </w:rPr>
        <w:lastRenderedPageBreak/>
        <w:t>Tā kā diapazons starp efektīvu vakcīnas devu un neefektīvu devu ir neliels, pievērst īpašu uzmanību pareizas devas ievadīšanai.</w:t>
      </w:r>
    </w:p>
    <w:p w14:paraId="30786D45" w14:textId="77777777" w:rsidR="00AB4A2F" w:rsidRDefault="00AB4A2F">
      <w:pPr>
        <w:tabs>
          <w:tab w:val="clear" w:pos="567"/>
        </w:tabs>
        <w:spacing w:line="240" w:lineRule="auto"/>
        <w:rPr>
          <w:rFonts w:asciiTheme="majorBidi" w:hAnsiTheme="majorBidi" w:cstheme="majorBidi"/>
          <w:szCs w:val="22"/>
        </w:rPr>
      </w:pPr>
    </w:p>
    <w:p w14:paraId="74C053DC" w14:textId="77777777" w:rsidR="00C57C88"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Vakcinēt tikai klīniski veselus dzīvniekus. </w:t>
      </w:r>
    </w:p>
    <w:p w14:paraId="62FF5ED1" w14:textId="73880087" w:rsidR="00C57C88" w:rsidRDefault="00C57C88">
      <w:pPr>
        <w:tabs>
          <w:tab w:val="clear" w:pos="567"/>
        </w:tabs>
        <w:spacing w:line="240" w:lineRule="auto"/>
        <w:rPr>
          <w:rFonts w:asciiTheme="majorBidi" w:hAnsiTheme="majorBidi" w:cstheme="majorBidi"/>
          <w:szCs w:val="22"/>
        </w:rPr>
      </w:pPr>
    </w:p>
    <w:p w14:paraId="43891FD2" w14:textId="7E96A0F7" w:rsidR="00C57C88" w:rsidRDefault="00C57C88">
      <w:pPr>
        <w:tabs>
          <w:tab w:val="clear" w:pos="567"/>
        </w:tabs>
        <w:spacing w:line="240" w:lineRule="auto"/>
        <w:rPr>
          <w:rFonts w:asciiTheme="majorBidi" w:hAnsiTheme="majorBidi" w:cstheme="majorBidi"/>
          <w:szCs w:val="22"/>
        </w:rPr>
      </w:pPr>
      <w:r w:rsidRPr="00E57A7D">
        <w:rPr>
          <w:szCs w:val="22"/>
          <w:u w:val="single"/>
        </w:rPr>
        <w:t>Īpaši piesardzības pasākumi drošai lietošanai mērķsugām</w:t>
      </w:r>
      <w:r w:rsidRPr="00E57A7D">
        <w:t>:</w:t>
      </w:r>
    </w:p>
    <w:p w14:paraId="1704CC9B" w14:textId="115E200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Visas novietnē esošās vistas vakcinēt vienlaikus.</w:t>
      </w:r>
    </w:p>
    <w:p w14:paraId="0D5AC802" w14:textId="50438D12" w:rsidR="00082B4D" w:rsidRDefault="00082B4D" w:rsidP="00082B4D">
      <w:pPr>
        <w:tabs>
          <w:tab w:val="clear" w:pos="567"/>
        </w:tabs>
        <w:spacing w:line="240" w:lineRule="auto"/>
        <w:rPr>
          <w:rFonts w:asciiTheme="majorBidi" w:hAnsiTheme="majorBidi" w:cstheme="majorBidi"/>
          <w:szCs w:val="22"/>
        </w:rPr>
      </w:pPr>
      <w:r>
        <w:rPr>
          <w:rFonts w:asciiTheme="majorBidi" w:hAnsiTheme="majorBidi" w:cstheme="majorBidi"/>
          <w:szCs w:val="22"/>
        </w:rPr>
        <w:t>Ja vakcinācija tiek plānota nākamajām dējējvistām vai vaislas vis</w:t>
      </w:r>
      <w:r w:rsidRPr="00F44584">
        <w:rPr>
          <w:rFonts w:asciiTheme="majorBidi" w:hAnsiTheme="majorBidi" w:cstheme="majorBidi"/>
          <w:szCs w:val="22"/>
        </w:rPr>
        <w:t>tām, k</w:t>
      </w:r>
      <w:r w:rsidR="00342B92" w:rsidRPr="00F44584">
        <w:rPr>
          <w:rFonts w:asciiTheme="majorBidi" w:hAnsiTheme="majorBidi" w:cstheme="majorBidi"/>
          <w:szCs w:val="22"/>
        </w:rPr>
        <w:t>uras</w:t>
      </w:r>
      <w:r>
        <w:rPr>
          <w:rFonts w:asciiTheme="majorBidi" w:hAnsiTheme="majorBidi" w:cstheme="majorBidi"/>
          <w:szCs w:val="22"/>
        </w:rPr>
        <w:t xml:space="preserve"> jaunākas par 7 dienām, vecāku saime ir jāvakcinē ar IB vakcīnu, lai nodrošinātu pēcnācējus ar no mātes iegūtām antivielām (MDA) pret IBV.</w:t>
      </w:r>
    </w:p>
    <w:p w14:paraId="3817C664" w14:textId="77777777" w:rsidR="00AB4A2F" w:rsidRDefault="00AB4A2F">
      <w:pPr>
        <w:tabs>
          <w:tab w:val="clear" w:pos="567"/>
        </w:tabs>
        <w:spacing w:line="240" w:lineRule="auto"/>
        <w:rPr>
          <w:rFonts w:asciiTheme="majorBidi" w:hAnsiTheme="majorBidi" w:cstheme="majorBidi"/>
          <w:szCs w:val="22"/>
        </w:rPr>
      </w:pPr>
    </w:p>
    <w:p w14:paraId="0322A96C" w14:textId="29485249"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u w:val="single"/>
        </w:rPr>
        <w:t>Īpaši p</w:t>
      </w:r>
      <w:r>
        <w:rPr>
          <w:rFonts w:asciiTheme="majorBidi" w:hAnsiTheme="majorBidi" w:cstheme="majorBidi"/>
          <w:color w:val="000000"/>
          <w:szCs w:val="22"/>
          <w:u w:val="single"/>
        </w:rPr>
        <w:t xml:space="preserve">iesardzības pasākumi, kas jāievēro personai, kura </w:t>
      </w:r>
      <w:r w:rsidR="00692B7A" w:rsidRPr="00E57A7D">
        <w:rPr>
          <w:szCs w:val="22"/>
          <w:u w:val="single"/>
        </w:rPr>
        <w:t>ievada veterinārās zāles dzīvniekiem</w:t>
      </w:r>
      <w:r w:rsidR="00692B7A" w:rsidRPr="00E57A7D">
        <w:t>:</w:t>
      </w:r>
    </w:p>
    <w:p w14:paraId="63CA4576"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Sagatavojot un ievadot vakcīnu, ievērot piesardzību. Valkāt piemērotu sejas masku un acis aizsargājošas brilles, lai izvairītos no tiešas saskares ar aerosolizēto vakcīnu. Pēc lietošanas nomazgāt un dezinficēt rokas. </w:t>
      </w:r>
    </w:p>
    <w:p w14:paraId="4F6075B6" w14:textId="77777777" w:rsidR="00C57C88" w:rsidRDefault="00C57C88">
      <w:pPr>
        <w:tabs>
          <w:tab w:val="clear" w:pos="567"/>
        </w:tabs>
        <w:spacing w:line="240" w:lineRule="auto"/>
        <w:rPr>
          <w:rFonts w:asciiTheme="majorBidi" w:hAnsiTheme="majorBidi" w:cstheme="majorBidi"/>
          <w:szCs w:val="22"/>
        </w:rPr>
      </w:pPr>
    </w:p>
    <w:p w14:paraId="29E8E1EC" w14:textId="72955290" w:rsidR="00167B0C" w:rsidRDefault="00C57C88">
      <w:pPr>
        <w:tabs>
          <w:tab w:val="clear" w:pos="567"/>
        </w:tabs>
        <w:spacing w:line="240" w:lineRule="auto"/>
        <w:ind w:left="567" w:hanging="567"/>
        <w:rPr>
          <w:rFonts w:asciiTheme="majorBidi" w:hAnsiTheme="majorBidi" w:cstheme="majorBidi"/>
          <w:szCs w:val="22"/>
          <w:u w:val="single"/>
        </w:rPr>
      </w:pPr>
      <w:r w:rsidRPr="00E57A7D">
        <w:rPr>
          <w:szCs w:val="22"/>
          <w:u w:val="single"/>
        </w:rPr>
        <w:t>Dējējputni</w:t>
      </w:r>
      <w:r w:rsidRPr="00E57A7D">
        <w:t>:</w:t>
      </w:r>
    </w:p>
    <w:p w14:paraId="54AAD3A6" w14:textId="79F450C5"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color w:val="000000"/>
          <w:szCs w:val="22"/>
        </w:rPr>
        <w:t xml:space="preserve">Ir pierādīts </w:t>
      </w:r>
      <w:r w:rsidR="000F59D6">
        <w:rPr>
          <w:rFonts w:asciiTheme="majorBidi" w:hAnsiTheme="majorBidi" w:cstheme="majorBidi"/>
          <w:szCs w:val="22"/>
        </w:rPr>
        <w:t>šo veterināro zāļu</w:t>
      </w:r>
      <w:r>
        <w:rPr>
          <w:rFonts w:asciiTheme="majorBidi" w:hAnsiTheme="majorBidi" w:cstheme="majorBidi"/>
          <w:szCs w:val="22"/>
        </w:rPr>
        <w:t xml:space="preserve"> drošums lietošanai dēšanas laikā. Nav pierādīts </w:t>
      </w:r>
      <w:r w:rsidR="000F59D6">
        <w:rPr>
          <w:rFonts w:asciiTheme="majorBidi" w:hAnsiTheme="majorBidi" w:cstheme="majorBidi"/>
          <w:szCs w:val="22"/>
        </w:rPr>
        <w:t>šo veterināro zāļu</w:t>
      </w:r>
      <w:r>
        <w:rPr>
          <w:rFonts w:asciiTheme="majorBidi" w:hAnsiTheme="majorBidi" w:cstheme="majorBidi"/>
          <w:szCs w:val="22"/>
        </w:rPr>
        <w:t xml:space="preserve"> iedarbīgums lietojot dēšanas laikā.</w:t>
      </w:r>
    </w:p>
    <w:p w14:paraId="3886578E" w14:textId="252F90F3" w:rsidR="00AB4A2F" w:rsidRDefault="00005938">
      <w:pPr>
        <w:pStyle w:val="CommentText"/>
        <w:rPr>
          <w:rFonts w:asciiTheme="majorBidi" w:hAnsiTheme="majorBidi" w:cstheme="majorBidi"/>
          <w:snapToGrid w:val="0"/>
          <w:sz w:val="22"/>
          <w:szCs w:val="22"/>
          <w:lang w:eastAsia="lv-LV"/>
        </w:rPr>
      </w:pPr>
      <w:r>
        <w:rPr>
          <w:rFonts w:asciiTheme="majorBidi" w:hAnsiTheme="majorBidi" w:cstheme="majorBidi"/>
          <w:snapToGrid w:val="0"/>
          <w:sz w:val="22"/>
          <w:szCs w:val="22"/>
          <w:lang w:eastAsia="lv-LV"/>
        </w:rPr>
        <w:t>Lēmumu par vakcīnas lietošanu dēšanas laikā pieņem, izvērtējot katru gadījumu atsevišķi</w:t>
      </w:r>
      <w:r w:rsidR="00692B7A">
        <w:rPr>
          <w:rFonts w:asciiTheme="majorBidi" w:hAnsiTheme="majorBidi" w:cstheme="majorBidi"/>
          <w:snapToGrid w:val="0"/>
          <w:sz w:val="22"/>
          <w:szCs w:val="22"/>
          <w:lang w:eastAsia="lv-LV"/>
        </w:rPr>
        <w:t>.</w:t>
      </w:r>
    </w:p>
    <w:p w14:paraId="14D9AAAB" w14:textId="77777777" w:rsidR="00AB4A2F" w:rsidRDefault="00AB4A2F">
      <w:pPr>
        <w:tabs>
          <w:tab w:val="clear" w:pos="567"/>
        </w:tabs>
        <w:spacing w:line="240" w:lineRule="auto"/>
        <w:rPr>
          <w:rFonts w:asciiTheme="majorBidi" w:hAnsiTheme="majorBidi" w:cstheme="majorBidi"/>
          <w:szCs w:val="22"/>
        </w:rPr>
      </w:pPr>
    </w:p>
    <w:p w14:paraId="7D7531EB" w14:textId="77777777" w:rsidR="00AB4A2F" w:rsidRDefault="00005938">
      <w:pPr>
        <w:tabs>
          <w:tab w:val="clear" w:pos="567"/>
        </w:tabs>
        <w:spacing w:line="240" w:lineRule="auto"/>
        <w:rPr>
          <w:rFonts w:asciiTheme="majorBidi" w:hAnsiTheme="majorBidi" w:cstheme="majorBidi"/>
          <w:szCs w:val="22"/>
          <w:u w:val="single"/>
        </w:rPr>
      </w:pPr>
      <w:r>
        <w:rPr>
          <w:rFonts w:asciiTheme="majorBidi" w:hAnsiTheme="majorBidi" w:cstheme="majorBidi"/>
          <w:szCs w:val="22"/>
          <w:u w:val="single"/>
        </w:rPr>
        <w:t>Mijiedarbība ar citām zālēm un citi mijiedarbības veidi:</w:t>
      </w:r>
    </w:p>
    <w:p w14:paraId="7D90C6BD" w14:textId="77777777" w:rsidR="00985FC5" w:rsidRDefault="00985FC5" w:rsidP="00985FC5">
      <w:pPr>
        <w:tabs>
          <w:tab w:val="clear" w:pos="567"/>
        </w:tabs>
        <w:spacing w:line="240" w:lineRule="auto"/>
        <w:rPr>
          <w:rFonts w:asciiTheme="majorBidi" w:hAnsiTheme="majorBidi" w:cstheme="majorBidi"/>
          <w:color w:val="000000"/>
          <w:szCs w:val="22"/>
        </w:rPr>
      </w:pPr>
      <w:r>
        <w:rPr>
          <w:rFonts w:asciiTheme="majorBidi" w:hAnsiTheme="majorBidi" w:cstheme="majorBidi"/>
          <w:color w:val="000000"/>
          <w:szCs w:val="22"/>
        </w:rPr>
        <w:t>P</w:t>
      </w:r>
      <w:r w:rsidRPr="0088413C">
        <w:rPr>
          <w:rFonts w:asciiTheme="majorBidi" w:hAnsiTheme="majorBidi" w:cstheme="majorBidi"/>
          <w:color w:val="000000"/>
          <w:szCs w:val="22"/>
        </w:rPr>
        <w:t>ieejami</w:t>
      </w:r>
      <w:r>
        <w:rPr>
          <w:rFonts w:asciiTheme="majorBidi" w:hAnsiTheme="majorBidi" w:cstheme="majorBidi"/>
          <w:color w:val="000000"/>
          <w:szCs w:val="22"/>
        </w:rPr>
        <w:t>e</w:t>
      </w:r>
      <w:r w:rsidRPr="0088413C">
        <w:rPr>
          <w:rFonts w:asciiTheme="majorBidi" w:hAnsiTheme="majorBidi" w:cstheme="majorBidi"/>
          <w:color w:val="000000"/>
          <w:szCs w:val="22"/>
        </w:rPr>
        <w:t xml:space="preserve"> droš</w:t>
      </w:r>
      <w:r>
        <w:rPr>
          <w:rFonts w:asciiTheme="majorBidi" w:hAnsiTheme="majorBidi" w:cstheme="majorBidi"/>
          <w:color w:val="000000"/>
          <w:szCs w:val="22"/>
        </w:rPr>
        <w:t>uma</w:t>
      </w:r>
      <w:r w:rsidRPr="0088413C">
        <w:rPr>
          <w:rFonts w:asciiTheme="majorBidi" w:hAnsiTheme="majorBidi" w:cstheme="majorBidi"/>
          <w:color w:val="000000"/>
          <w:szCs w:val="22"/>
        </w:rPr>
        <w:t xml:space="preserve"> un </w:t>
      </w:r>
      <w:r>
        <w:rPr>
          <w:rFonts w:asciiTheme="majorBidi" w:hAnsiTheme="majorBidi" w:cstheme="majorBidi"/>
          <w:color w:val="000000"/>
          <w:szCs w:val="22"/>
        </w:rPr>
        <w:t>iedarbīguma pētījumi</w:t>
      </w:r>
      <w:r w:rsidRPr="0088413C">
        <w:rPr>
          <w:rFonts w:asciiTheme="majorBidi" w:hAnsiTheme="majorBidi" w:cstheme="majorBidi"/>
          <w:color w:val="000000"/>
          <w:szCs w:val="22"/>
        </w:rPr>
        <w:t xml:space="preserve"> pierāda, ka šo vakcīnu </w:t>
      </w:r>
      <w:r w:rsidRPr="001278ED">
        <w:rPr>
          <w:rFonts w:asciiTheme="majorBidi" w:hAnsiTheme="majorBidi" w:cstheme="majorBidi"/>
          <w:color w:val="000000"/>
          <w:szCs w:val="22"/>
        </w:rPr>
        <w:t xml:space="preserve">ar </w:t>
      </w:r>
      <w:r w:rsidRPr="0088413C">
        <w:rPr>
          <w:rFonts w:asciiTheme="majorBidi" w:hAnsiTheme="majorBidi" w:cstheme="majorBidi"/>
          <w:color w:val="000000"/>
          <w:szCs w:val="22"/>
        </w:rPr>
        <w:t>rupjās izsmidzināšanas metodi</w:t>
      </w:r>
      <w:r w:rsidRPr="001278ED">
        <w:rPr>
          <w:rFonts w:asciiTheme="majorBidi" w:hAnsiTheme="majorBidi" w:cstheme="majorBidi"/>
          <w:color w:val="000000"/>
          <w:szCs w:val="22"/>
        </w:rPr>
        <w:t xml:space="preserve"> </w:t>
      </w:r>
      <w:r>
        <w:rPr>
          <w:rFonts w:asciiTheme="majorBidi" w:hAnsiTheme="majorBidi" w:cstheme="majorBidi"/>
          <w:color w:val="000000"/>
          <w:szCs w:val="22"/>
        </w:rPr>
        <w:t>drīkst</w:t>
      </w:r>
      <w:r w:rsidRPr="0088413C">
        <w:rPr>
          <w:rFonts w:asciiTheme="majorBidi" w:hAnsiTheme="majorBidi" w:cstheme="majorBidi"/>
          <w:color w:val="000000"/>
          <w:szCs w:val="22"/>
        </w:rPr>
        <w:t xml:space="preserve"> ievadīt </w:t>
      </w:r>
      <w:r w:rsidRPr="002D0E13">
        <w:rPr>
          <w:rFonts w:asciiTheme="majorBidi" w:hAnsiTheme="majorBidi" w:cstheme="majorBidi"/>
          <w:color w:val="000000"/>
          <w:szCs w:val="22"/>
        </w:rPr>
        <w:t>no</w:t>
      </w:r>
      <w:r>
        <w:rPr>
          <w:rFonts w:asciiTheme="majorBidi" w:hAnsiTheme="majorBidi" w:cstheme="majorBidi"/>
          <w:color w:val="000000"/>
          <w:szCs w:val="22"/>
        </w:rPr>
        <w:t xml:space="preserve"> vienas</w:t>
      </w:r>
      <w:r w:rsidRPr="002D0E13">
        <w:rPr>
          <w:rFonts w:asciiTheme="majorBidi" w:hAnsiTheme="majorBidi" w:cstheme="majorBidi"/>
          <w:color w:val="000000"/>
          <w:szCs w:val="22"/>
        </w:rPr>
        <w:t xml:space="preserve"> dienas </w:t>
      </w:r>
      <w:r w:rsidRPr="00985FC5">
        <w:rPr>
          <w:rFonts w:asciiTheme="majorBidi" w:hAnsiTheme="majorBidi" w:cstheme="majorBidi"/>
          <w:color w:val="000000"/>
          <w:szCs w:val="22"/>
        </w:rPr>
        <w:t xml:space="preserve">vecuma </w:t>
      </w:r>
      <w:r w:rsidRPr="0088413C">
        <w:rPr>
          <w:rFonts w:asciiTheme="majorBidi" w:hAnsiTheme="majorBidi" w:cstheme="majorBidi"/>
          <w:color w:val="000000"/>
          <w:szCs w:val="22"/>
        </w:rPr>
        <w:t xml:space="preserve">pēc Poulvac IB Primer (ja </w:t>
      </w:r>
      <w:r>
        <w:rPr>
          <w:rFonts w:asciiTheme="majorBidi" w:hAnsiTheme="majorBidi" w:cstheme="majorBidi"/>
          <w:color w:val="000000"/>
          <w:szCs w:val="22"/>
        </w:rPr>
        <w:t>reģistrēts</w:t>
      </w:r>
      <w:r w:rsidRPr="0088413C">
        <w:rPr>
          <w:rFonts w:asciiTheme="majorBidi" w:hAnsiTheme="majorBidi" w:cstheme="majorBidi"/>
          <w:color w:val="000000"/>
          <w:szCs w:val="22"/>
        </w:rPr>
        <w:t xml:space="preserve">) ievadīšanas </w:t>
      </w:r>
      <w:r>
        <w:rPr>
          <w:rFonts w:asciiTheme="majorBidi" w:hAnsiTheme="majorBidi" w:cstheme="majorBidi"/>
          <w:color w:val="000000"/>
          <w:szCs w:val="22"/>
        </w:rPr>
        <w:t>a</w:t>
      </w:r>
      <w:r w:rsidRPr="00985FC5">
        <w:rPr>
          <w:rFonts w:asciiTheme="majorBidi" w:hAnsiTheme="majorBidi" w:cstheme="majorBidi"/>
          <w:color w:val="000000"/>
          <w:szCs w:val="22"/>
        </w:rPr>
        <w:t xml:space="preserve">r </w:t>
      </w:r>
      <w:r w:rsidRPr="0088413C">
        <w:rPr>
          <w:rFonts w:asciiTheme="majorBidi" w:hAnsiTheme="majorBidi" w:cstheme="majorBidi"/>
          <w:color w:val="000000"/>
          <w:szCs w:val="22"/>
        </w:rPr>
        <w:t xml:space="preserve">rupjās izsmidzināšanas metodi un </w:t>
      </w:r>
      <w:r w:rsidRPr="00985FC5">
        <w:rPr>
          <w:rFonts w:asciiTheme="majorBidi" w:hAnsiTheme="majorBidi" w:cstheme="majorBidi"/>
          <w:color w:val="000000"/>
          <w:szCs w:val="22"/>
        </w:rPr>
        <w:t xml:space="preserve">acu </w:t>
      </w:r>
      <w:r w:rsidRPr="0088413C">
        <w:rPr>
          <w:rFonts w:asciiTheme="majorBidi" w:hAnsiTheme="majorBidi" w:cstheme="majorBidi"/>
          <w:color w:val="000000"/>
          <w:szCs w:val="22"/>
        </w:rPr>
        <w:t>pili</w:t>
      </w:r>
      <w:r w:rsidRPr="00985FC5">
        <w:rPr>
          <w:rFonts w:asciiTheme="majorBidi" w:hAnsiTheme="majorBidi" w:cstheme="majorBidi"/>
          <w:color w:val="000000"/>
          <w:szCs w:val="22"/>
        </w:rPr>
        <w:t>enu veidā</w:t>
      </w:r>
      <w:r w:rsidRPr="0088413C">
        <w:rPr>
          <w:rFonts w:asciiTheme="majorBidi" w:hAnsiTheme="majorBidi" w:cstheme="majorBidi"/>
          <w:color w:val="000000"/>
          <w:szCs w:val="22"/>
        </w:rPr>
        <w:t xml:space="preserve">, ar 7 līdz 14 dienu intervālu starp abām ievadīšanas reizēm. </w:t>
      </w:r>
      <w:r>
        <w:rPr>
          <w:rFonts w:asciiTheme="majorBidi" w:hAnsiTheme="majorBidi" w:cstheme="majorBidi"/>
          <w:color w:val="000000"/>
          <w:szCs w:val="22"/>
        </w:rPr>
        <w:t>Pēc s</w:t>
      </w:r>
      <w:r w:rsidRPr="0088413C">
        <w:rPr>
          <w:rFonts w:asciiTheme="majorBidi" w:hAnsiTheme="majorBidi" w:cstheme="majorBidi"/>
          <w:color w:val="000000"/>
          <w:szCs w:val="22"/>
        </w:rPr>
        <w:t>aistīta</w:t>
      </w:r>
      <w:r>
        <w:rPr>
          <w:rFonts w:asciiTheme="majorBidi" w:hAnsiTheme="majorBidi" w:cstheme="majorBidi"/>
          <w:color w:val="000000"/>
          <w:szCs w:val="22"/>
        </w:rPr>
        <w:t>s</w:t>
      </w:r>
      <w:r w:rsidRPr="0088413C">
        <w:rPr>
          <w:rFonts w:asciiTheme="majorBidi" w:hAnsiTheme="majorBidi" w:cstheme="majorBidi"/>
          <w:color w:val="000000"/>
          <w:szCs w:val="22"/>
        </w:rPr>
        <w:t xml:space="preserve"> lietošana</w:t>
      </w:r>
      <w:r>
        <w:rPr>
          <w:rFonts w:asciiTheme="majorBidi" w:hAnsiTheme="majorBidi" w:cstheme="majorBidi"/>
          <w:color w:val="000000"/>
          <w:szCs w:val="22"/>
        </w:rPr>
        <w:t>s</w:t>
      </w:r>
      <w:r w:rsidRPr="0088413C">
        <w:rPr>
          <w:rFonts w:asciiTheme="majorBidi" w:hAnsiTheme="majorBidi" w:cstheme="majorBidi"/>
          <w:color w:val="000000"/>
          <w:szCs w:val="22"/>
        </w:rPr>
        <w:t xml:space="preserve"> imunitāte iestājas 21 dienu pēc </w:t>
      </w:r>
      <w:r w:rsidRPr="005E0F50">
        <w:rPr>
          <w:rFonts w:asciiTheme="majorBidi" w:hAnsiTheme="majorBidi" w:cstheme="majorBidi"/>
          <w:color w:val="000000"/>
          <w:szCs w:val="22"/>
        </w:rPr>
        <w:t>vakcinācijas</w:t>
      </w:r>
      <w:r w:rsidRPr="00DE6D47">
        <w:rPr>
          <w:rFonts w:asciiTheme="majorBidi" w:hAnsiTheme="majorBidi" w:cstheme="majorBidi"/>
          <w:color w:val="000000"/>
          <w:szCs w:val="22"/>
        </w:rPr>
        <w:t xml:space="preserve"> </w:t>
      </w:r>
      <w:r>
        <w:rPr>
          <w:rFonts w:asciiTheme="majorBidi" w:hAnsiTheme="majorBidi" w:cstheme="majorBidi"/>
          <w:color w:val="000000"/>
          <w:szCs w:val="22"/>
        </w:rPr>
        <w:t xml:space="preserve">ar </w:t>
      </w:r>
      <w:r w:rsidRPr="0088413C">
        <w:rPr>
          <w:rFonts w:asciiTheme="majorBidi" w:hAnsiTheme="majorBidi" w:cstheme="majorBidi"/>
          <w:color w:val="000000"/>
          <w:szCs w:val="22"/>
        </w:rPr>
        <w:t xml:space="preserve">Poulvac IB QX, lai nodrošinātu apgalvoto aizsardzību pret QX līdzīgu IBV celmu, un </w:t>
      </w:r>
      <w:r w:rsidRPr="009B1ED4">
        <w:rPr>
          <w:rFonts w:asciiTheme="majorBidi" w:hAnsiTheme="majorBidi" w:cstheme="majorBidi"/>
          <w:color w:val="000000"/>
          <w:szCs w:val="22"/>
        </w:rPr>
        <w:t>pēc vakcinācija</w:t>
      </w:r>
      <w:r>
        <w:rPr>
          <w:rFonts w:asciiTheme="majorBidi" w:hAnsiTheme="majorBidi" w:cstheme="majorBidi"/>
          <w:color w:val="000000"/>
          <w:szCs w:val="22"/>
        </w:rPr>
        <w:t>s ar</w:t>
      </w:r>
      <w:r w:rsidRPr="009B1ED4">
        <w:rPr>
          <w:rFonts w:asciiTheme="majorBidi" w:hAnsiTheme="majorBidi" w:cstheme="majorBidi"/>
          <w:color w:val="000000"/>
          <w:szCs w:val="22"/>
        </w:rPr>
        <w:t xml:space="preserve"> Poulvac IB. Primer </w:t>
      </w:r>
      <w:r w:rsidRPr="0088413C">
        <w:rPr>
          <w:rFonts w:asciiTheme="majorBidi" w:hAnsiTheme="majorBidi" w:cstheme="majorBidi"/>
          <w:color w:val="000000"/>
          <w:szCs w:val="22"/>
        </w:rPr>
        <w:t xml:space="preserve">imunitāte </w:t>
      </w:r>
      <w:r>
        <w:rPr>
          <w:rFonts w:asciiTheme="majorBidi" w:hAnsiTheme="majorBidi" w:cstheme="majorBidi"/>
          <w:color w:val="000000"/>
          <w:szCs w:val="22"/>
        </w:rPr>
        <w:t>iestājas</w:t>
      </w:r>
      <w:r w:rsidRPr="0088413C">
        <w:rPr>
          <w:rFonts w:asciiTheme="majorBidi" w:hAnsiTheme="majorBidi" w:cstheme="majorBidi"/>
          <w:color w:val="000000"/>
          <w:szCs w:val="22"/>
        </w:rPr>
        <w:t xml:space="preserve"> </w:t>
      </w:r>
      <w:r>
        <w:rPr>
          <w:rFonts w:asciiTheme="majorBidi" w:hAnsiTheme="majorBidi" w:cstheme="majorBidi"/>
          <w:color w:val="000000"/>
          <w:szCs w:val="22"/>
        </w:rPr>
        <w:t xml:space="preserve">pēc </w:t>
      </w:r>
      <w:r w:rsidRPr="0088413C">
        <w:rPr>
          <w:rFonts w:asciiTheme="majorBidi" w:hAnsiTheme="majorBidi" w:cstheme="majorBidi"/>
          <w:color w:val="000000"/>
          <w:szCs w:val="22"/>
        </w:rPr>
        <w:t>27 dien</w:t>
      </w:r>
      <w:r>
        <w:rPr>
          <w:rFonts w:asciiTheme="majorBidi" w:hAnsiTheme="majorBidi" w:cstheme="majorBidi"/>
          <w:color w:val="000000"/>
          <w:szCs w:val="22"/>
        </w:rPr>
        <w:t>ām</w:t>
      </w:r>
      <w:r w:rsidRPr="0088413C">
        <w:rPr>
          <w:rFonts w:asciiTheme="majorBidi" w:hAnsiTheme="majorBidi" w:cstheme="majorBidi"/>
          <w:color w:val="000000"/>
          <w:szCs w:val="22"/>
        </w:rPr>
        <w:t xml:space="preserve"> pret Masačūsetsas serotipu un D274 līdzīgiem IBV celmiem. Imunitātes </w:t>
      </w:r>
      <w:r>
        <w:rPr>
          <w:rFonts w:asciiTheme="majorBidi" w:hAnsiTheme="majorBidi" w:cstheme="majorBidi"/>
          <w:color w:val="000000"/>
          <w:szCs w:val="22"/>
        </w:rPr>
        <w:t>iestāšanās pēc</w:t>
      </w:r>
      <w:r w:rsidRPr="0088413C">
        <w:rPr>
          <w:rFonts w:asciiTheme="majorBidi" w:hAnsiTheme="majorBidi" w:cstheme="majorBidi"/>
          <w:color w:val="000000"/>
          <w:szCs w:val="22"/>
        </w:rPr>
        <w:t xml:space="preserve"> 21 dien</w:t>
      </w:r>
      <w:r>
        <w:rPr>
          <w:rFonts w:asciiTheme="majorBidi" w:hAnsiTheme="majorBidi" w:cstheme="majorBidi"/>
          <w:color w:val="000000"/>
          <w:szCs w:val="22"/>
        </w:rPr>
        <w:t>as</w:t>
      </w:r>
      <w:r w:rsidRPr="0088413C">
        <w:rPr>
          <w:rFonts w:asciiTheme="majorBidi" w:hAnsiTheme="majorBidi" w:cstheme="majorBidi"/>
          <w:color w:val="000000"/>
          <w:szCs w:val="22"/>
        </w:rPr>
        <w:t xml:space="preserve"> pēc otrās vakcinācijas pret IBV 2. variantu (IS-1494 līdzīgiem) un 793B serotipa celmiem ir noteikt</w:t>
      </w:r>
      <w:r>
        <w:rPr>
          <w:rFonts w:asciiTheme="majorBidi" w:hAnsiTheme="majorBidi" w:cstheme="majorBidi"/>
          <w:color w:val="000000"/>
          <w:szCs w:val="22"/>
        </w:rPr>
        <w:t>a arī</w:t>
      </w:r>
      <w:r w:rsidRPr="0088413C">
        <w:rPr>
          <w:rFonts w:asciiTheme="majorBidi" w:hAnsiTheme="majorBidi" w:cstheme="majorBidi"/>
          <w:color w:val="000000"/>
          <w:szCs w:val="22"/>
        </w:rPr>
        <w:t xml:space="preserve"> saistītajai lietošanai</w:t>
      </w:r>
      <w:r>
        <w:rPr>
          <w:rFonts w:asciiTheme="majorBidi" w:hAnsiTheme="majorBidi" w:cstheme="majorBidi"/>
          <w:color w:val="000000"/>
          <w:szCs w:val="22"/>
        </w:rPr>
        <w:t xml:space="preserve"> ar </w:t>
      </w:r>
      <w:r w:rsidRPr="0088413C">
        <w:rPr>
          <w:rFonts w:asciiTheme="majorBidi" w:hAnsiTheme="majorBidi" w:cstheme="majorBidi"/>
          <w:color w:val="000000"/>
          <w:szCs w:val="22"/>
        </w:rPr>
        <w:t xml:space="preserve">Poulvac IB Primer, kā aprakstīts iepriekš, ko pierāda </w:t>
      </w:r>
      <w:r>
        <w:rPr>
          <w:rFonts w:asciiTheme="majorBidi" w:hAnsiTheme="majorBidi" w:cstheme="majorBidi"/>
          <w:color w:val="000000"/>
          <w:szCs w:val="22"/>
        </w:rPr>
        <w:t>respiratoro pazīmju,</w:t>
      </w:r>
      <w:r w:rsidRPr="00CB08F8">
        <w:rPr>
          <w:color w:val="000000"/>
        </w:rPr>
        <w:t xml:space="preserve"> </w:t>
      </w:r>
      <w:r w:rsidRPr="003570DF">
        <w:rPr>
          <w:color w:val="000000"/>
        </w:rPr>
        <w:t>ko</w:t>
      </w:r>
      <w:r w:rsidRPr="00832C6E">
        <w:rPr>
          <w:color w:val="000000"/>
        </w:rPr>
        <w:t xml:space="preserve"> izraisa IBV 2. variants (līdzīgs IS-1494) un 793B serotipa celms (novērtēts </w:t>
      </w:r>
      <w:r w:rsidRPr="00C56A07">
        <w:rPr>
          <w:color w:val="000000"/>
        </w:rPr>
        <w:t>pēc trahejas paraugu ciliārās aktivitātes</w:t>
      </w:r>
      <w:r w:rsidRPr="003570DF">
        <w:rPr>
          <w:color w:val="000000"/>
        </w:rPr>
        <w:t>)</w:t>
      </w:r>
      <w:r>
        <w:rPr>
          <w:rFonts w:asciiTheme="majorBidi" w:hAnsiTheme="majorBidi" w:cstheme="majorBidi"/>
          <w:color w:val="000000"/>
          <w:szCs w:val="22"/>
        </w:rPr>
        <w:t xml:space="preserve"> </w:t>
      </w:r>
      <w:r w:rsidRPr="0088413C">
        <w:rPr>
          <w:rFonts w:asciiTheme="majorBidi" w:hAnsiTheme="majorBidi" w:cstheme="majorBidi"/>
          <w:color w:val="000000"/>
          <w:szCs w:val="22"/>
        </w:rPr>
        <w:t>samazināšanās</w:t>
      </w:r>
      <w:r>
        <w:rPr>
          <w:rFonts w:asciiTheme="majorBidi" w:hAnsiTheme="majorBidi" w:cstheme="majorBidi"/>
          <w:color w:val="000000"/>
          <w:szCs w:val="22"/>
        </w:rPr>
        <w:t xml:space="preserve">. </w:t>
      </w:r>
      <w:r w:rsidRPr="0088413C">
        <w:rPr>
          <w:rFonts w:asciiTheme="majorBidi" w:hAnsiTheme="majorBidi" w:cstheme="majorBidi"/>
          <w:color w:val="000000"/>
          <w:szCs w:val="22"/>
        </w:rPr>
        <w:t>Iespējamā</w:t>
      </w:r>
      <w:r>
        <w:rPr>
          <w:rFonts w:asciiTheme="majorBidi" w:hAnsiTheme="majorBidi" w:cstheme="majorBidi"/>
          <w:color w:val="000000"/>
          <w:szCs w:val="22"/>
        </w:rPr>
        <w:t xml:space="preserve"> maternālo antivielu</w:t>
      </w:r>
      <w:r w:rsidRPr="0088413C">
        <w:rPr>
          <w:rFonts w:asciiTheme="majorBidi" w:hAnsiTheme="majorBidi" w:cstheme="majorBidi"/>
          <w:color w:val="000000"/>
          <w:szCs w:val="22"/>
        </w:rPr>
        <w:t xml:space="preserve"> </w:t>
      </w:r>
      <w:r>
        <w:rPr>
          <w:rFonts w:asciiTheme="majorBidi" w:hAnsiTheme="majorBidi" w:cstheme="majorBidi"/>
          <w:color w:val="000000"/>
          <w:szCs w:val="22"/>
        </w:rPr>
        <w:t>(</w:t>
      </w:r>
      <w:r w:rsidRPr="0088413C">
        <w:rPr>
          <w:rFonts w:asciiTheme="majorBidi" w:hAnsiTheme="majorBidi" w:cstheme="majorBidi"/>
          <w:color w:val="000000"/>
          <w:szCs w:val="22"/>
        </w:rPr>
        <w:t>MDA</w:t>
      </w:r>
      <w:r>
        <w:rPr>
          <w:rFonts w:asciiTheme="majorBidi" w:hAnsiTheme="majorBidi" w:cstheme="majorBidi"/>
          <w:color w:val="000000"/>
          <w:szCs w:val="22"/>
        </w:rPr>
        <w:t>)</w:t>
      </w:r>
      <w:r w:rsidRPr="0088413C">
        <w:rPr>
          <w:rFonts w:asciiTheme="majorBidi" w:hAnsiTheme="majorBidi" w:cstheme="majorBidi"/>
          <w:color w:val="000000"/>
          <w:szCs w:val="22"/>
        </w:rPr>
        <w:t xml:space="preserve"> ietekme uz </w:t>
      </w:r>
      <w:r>
        <w:rPr>
          <w:rFonts w:asciiTheme="majorBidi" w:hAnsiTheme="majorBidi" w:cstheme="majorBidi"/>
          <w:color w:val="000000"/>
          <w:szCs w:val="22"/>
        </w:rPr>
        <w:t>iedarbīgumu</w:t>
      </w:r>
      <w:r w:rsidRPr="0088413C">
        <w:rPr>
          <w:rFonts w:asciiTheme="majorBidi" w:hAnsiTheme="majorBidi" w:cstheme="majorBidi"/>
          <w:color w:val="000000"/>
          <w:szCs w:val="22"/>
        </w:rPr>
        <w:t xml:space="preserve"> pret 2. varianta un 793B serotipa celmiem netika pētīta. Droš</w:t>
      </w:r>
      <w:r>
        <w:rPr>
          <w:rFonts w:asciiTheme="majorBidi" w:hAnsiTheme="majorBidi" w:cstheme="majorBidi"/>
          <w:color w:val="000000"/>
          <w:szCs w:val="22"/>
        </w:rPr>
        <w:t>uma</w:t>
      </w:r>
      <w:r w:rsidRPr="0088413C">
        <w:rPr>
          <w:rFonts w:asciiTheme="majorBidi" w:hAnsiTheme="majorBidi" w:cstheme="majorBidi"/>
          <w:color w:val="000000"/>
          <w:szCs w:val="22"/>
        </w:rPr>
        <w:t xml:space="preserve"> parametri un </w:t>
      </w:r>
      <w:r>
        <w:rPr>
          <w:rFonts w:asciiTheme="majorBidi" w:hAnsiTheme="majorBidi" w:cstheme="majorBidi"/>
          <w:color w:val="000000"/>
          <w:szCs w:val="22"/>
        </w:rPr>
        <w:t>blakusparādības</w:t>
      </w:r>
      <w:r w:rsidRPr="0088413C">
        <w:rPr>
          <w:rFonts w:asciiTheme="majorBidi" w:hAnsiTheme="majorBidi" w:cstheme="majorBidi"/>
          <w:color w:val="000000"/>
          <w:szCs w:val="22"/>
        </w:rPr>
        <w:t xml:space="preserve"> neatšķiras no t</w:t>
      </w:r>
      <w:r>
        <w:rPr>
          <w:rFonts w:asciiTheme="majorBidi" w:hAnsiTheme="majorBidi" w:cstheme="majorBidi"/>
          <w:color w:val="000000"/>
          <w:szCs w:val="22"/>
        </w:rPr>
        <w:t>ā</w:t>
      </w:r>
      <w:r w:rsidRPr="0088413C">
        <w:rPr>
          <w:rFonts w:asciiTheme="majorBidi" w:hAnsiTheme="majorBidi" w:cstheme="majorBidi"/>
          <w:color w:val="000000"/>
          <w:szCs w:val="22"/>
        </w:rPr>
        <w:t>m, kas aprakstīt</w:t>
      </w:r>
      <w:r>
        <w:rPr>
          <w:rFonts w:asciiTheme="majorBidi" w:hAnsiTheme="majorBidi" w:cstheme="majorBidi"/>
          <w:color w:val="000000"/>
          <w:szCs w:val="22"/>
        </w:rPr>
        <w:t>as</w:t>
      </w:r>
      <w:r w:rsidRPr="0088413C">
        <w:rPr>
          <w:rFonts w:asciiTheme="majorBidi" w:hAnsiTheme="majorBidi" w:cstheme="majorBidi"/>
          <w:color w:val="000000"/>
          <w:szCs w:val="22"/>
        </w:rPr>
        <w:t xml:space="preserve"> atsevišķi ievadītām vakcīnām.</w:t>
      </w:r>
    </w:p>
    <w:p w14:paraId="5CDB71D2" w14:textId="77777777" w:rsidR="006E0A67" w:rsidRDefault="006E0A67">
      <w:pPr>
        <w:tabs>
          <w:tab w:val="clear" w:pos="567"/>
        </w:tabs>
        <w:spacing w:line="240" w:lineRule="auto"/>
        <w:rPr>
          <w:rFonts w:asciiTheme="majorBidi" w:hAnsiTheme="majorBidi" w:cstheme="majorBidi"/>
          <w:szCs w:val="22"/>
        </w:rPr>
      </w:pPr>
    </w:p>
    <w:p w14:paraId="1408EF5F" w14:textId="0520F4CF"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Nav pieejama informācija par šīs vakcīnas drošumu un iedarbīgumu, </w:t>
      </w:r>
      <w:r w:rsidR="00145A6E">
        <w:rPr>
          <w:rFonts w:asciiTheme="majorBidi" w:hAnsiTheme="majorBidi" w:cstheme="majorBidi"/>
          <w:szCs w:val="22"/>
        </w:rPr>
        <w:t>kad</w:t>
      </w:r>
      <w:r>
        <w:rPr>
          <w:rFonts w:asciiTheme="majorBidi" w:hAnsiTheme="majorBidi" w:cstheme="majorBidi"/>
          <w:szCs w:val="22"/>
        </w:rPr>
        <w:t xml:space="preserve"> to lieto kopā ar citām</w:t>
      </w:r>
      <w:r w:rsidR="0078048C">
        <w:rPr>
          <w:rFonts w:asciiTheme="majorBidi" w:hAnsiTheme="majorBidi" w:cstheme="majorBidi"/>
          <w:szCs w:val="22"/>
        </w:rPr>
        <w:t xml:space="preserve">, </w:t>
      </w:r>
      <w:r w:rsidR="0078048C" w:rsidRPr="00E57A7D">
        <w:t>izņemot iepriekš minētajām</w:t>
      </w:r>
      <w:r>
        <w:rPr>
          <w:rFonts w:asciiTheme="majorBidi" w:hAnsiTheme="majorBidi" w:cstheme="majorBidi"/>
          <w:szCs w:val="22"/>
        </w:rPr>
        <w:t xml:space="preserve"> veterinārajām zālēm. </w:t>
      </w:r>
      <w:r>
        <w:rPr>
          <w:rFonts w:asciiTheme="majorBidi" w:hAnsiTheme="majorBidi" w:cstheme="majorBidi"/>
          <w:color w:val="000000"/>
          <w:szCs w:val="22"/>
        </w:rPr>
        <w:t xml:space="preserve">Lēmumu par </w:t>
      </w:r>
      <w:r w:rsidR="00C37421" w:rsidRPr="00E57A7D">
        <w:t xml:space="preserve">šīs </w:t>
      </w:r>
      <w:r>
        <w:rPr>
          <w:rFonts w:asciiTheme="majorBidi" w:hAnsiTheme="majorBidi" w:cstheme="majorBidi"/>
          <w:color w:val="000000"/>
          <w:szCs w:val="22"/>
        </w:rPr>
        <w:t>vakcīnas lietošanu pirms vai pēc citu veterināro zāļu lietošanas pieņem</w:t>
      </w:r>
      <w:r w:rsidR="00145A6E">
        <w:rPr>
          <w:rFonts w:asciiTheme="majorBidi" w:hAnsiTheme="majorBidi" w:cstheme="majorBidi"/>
          <w:color w:val="000000"/>
          <w:szCs w:val="22"/>
        </w:rPr>
        <w:t>t</w:t>
      </w:r>
      <w:r>
        <w:rPr>
          <w:rFonts w:asciiTheme="majorBidi" w:hAnsiTheme="majorBidi" w:cstheme="majorBidi"/>
          <w:color w:val="000000"/>
          <w:szCs w:val="22"/>
        </w:rPr>
        <w:t>, izvērtējot katru gadījumu atsevišķi.</w:t>
      </w:r>
    </w:p>
    <w:p w14:paraId="35D3D1AD" w14:textId="7F729EDE" w:rsidR="00AB4A2F" w:rsidRDefault="00AB4A2F">
      <w:pPr>
        <w:tabs>
          <w:tab w:val="clear" w:pos="567"/>
        </w:tabs>
        <w:spacing w:line="240" w:lineRule="auto"/>
        <w:rPr>
          <w:rFonts w:asciiTheme="majorBidi" w:hAnsiTheme="majorBidi" w:cstheme="majorBidi"/>
          <w:szCs w:val="22"/>
        </w:rPr>
      </w:pPr>
    </w:p>
    <w:p w14:paraId="688A9807" w14:textId="488E4FB2" w:rsidR="00C57C88" w:rsidRPr="00E57A7D" w:rsidRDefault="00C57C88" w:rsidP="00C57C88">
      <w:pPr>
        <w:tabs>
          <w:tab w:val="clear" w:pos="567"/>
        </w:tabs>
        <w:spacing w:line="240" w:lineRule="auto"/>
        <w:rPr>
          <w:szCs w:val="22"/>
        </w:rPr>
      </w:pPr>
      <w:r w:rsidRPr="00E57A7D">
        <w:rPr>
          <w:szCs w:val="22"/>
          <w:u w:val="single"/>
        </w:rPr>
        <w:t>Pārdozēšana</w:t>
      </w:r>
      <w:r w:rsidRPr="00E57A7D">
        <w:t>:</w:t>
      </w:r>
    </w:p>
    <w:p w14:paraId="06FCEB05" w14:textId="77777777" w:rsidR="00692B7A" w:rsidRDefault="00692B7A" w:rsidP="00692B7A">
      <w:pPr>
        <w:tabs>
          <w:tab w:val="clear" w:pos="567"/>
        </w:tabs>
        <w:spacing w:line="240" w:lineRule="auto"/>
        <w:rPr>
          <w:rFonts w:asciiTheme="majorBidi" w:hAnsiTheme="majorBidi" w:cstheme="majorBidi"/>
          <w:szCs w:val="22"/>
        </w:rPr>
      </w:pPr>
      <w:r>
        <w:rPr>
          <w:rFonts w:asciiTheme="majorBidi" w:hAnsiTheme="majorBidi" w:cstheme="majorBidi"/>
          <w:szCs w:val="22"/>
        </w:rPr>
        <w:t>Pēc desmitkārtīgas devas pārsniegšanas var tikt novēroti nieru bojājumi (bālums, mikroskopiski bojājumi).</w:t>
      </w:r>
    </w:p>
    <w:p w14:paraId="27F74532" w14:textId="77777777" w:rsidR="00C57C88" w:rsidRDefault="00C57C88" w:rsidP="00C57C88">
      <w:pPr>
        <w:tabs>
          <w:tab w:val="clear" w:pos="567"/>
        </w:tabs>
        <w:spacing w:line="240" w:lineRule="auto"/>
        <w:rPr>
          <w:szCs w:val="22"/>
        </w:rPr>
      </w:pPr>
    </w:p>
    <w:p w14:paraId="0258CA45" w14:textId="5E8437FF" w:rsidR="001C1037" w:rsidRDefault="001C1037" w:rsidP="00C57C88">
      <w:pPr>
        <w:tabs>
          <w:tab w:val="clear" w:pos="567"/>
        </w:tabs>
        <w:spacing w:line="240" w:lineRule="auto"/>
        <w:rPr>
          <w:szCs w:val="22"/>
        </w:rPr>
      </w:pPr>
      <w:r w:rsidRPr="00E57A7D">
        <w:rPr>
          <w:szCs w:val="22"/>
          <w:u w:val="single"/>
        </w:rPr>
        <w:t>Īpaši lietošanas ierobežojumi un īpaši lietošanas nosacījumi</w:t>
      </w:r>
      <w:r w:rsidRPr="00E57A7D">
        <w:t>:</w:t>
      </w:r>
    </w:p>
    <w:p w14:paraId="7387CFCA" w14:textId="3A57DE06" w:rsidR="000F6AE5" w:rsidRDefault="003A12C8" w:rsidP="00C57C88">
      <w:pPr>
        <w:tabs>
          <w:tab w:val="clear" w:pos="567"/>
        </w:tabs>
        <w:spacing w:line="240" w:lineRule="auto"/>
      </w:pPr>
      <w:r w:rsidRPr="00FC060F">
        <w:t>Drīkst ievadīt tikai praktizējošs veterinārārsts</w:t>
      </w:r>
      <w:r w:rsidRPr="00E57A7D">
        <w:t>.</w:t>
      </w:r>
    </w:p>
    <w:p w14:paraId="67B04B9F" w14:textId="77777777" w:rsidR="001C1037" w:rsidRPr="00E57A7D" w:rsidRDefault="001C1037" w:rsidP="00C57C88">
      <w:pPr>
        <w:tabs>
          <w:tab w:val="clear" w:pos="567"/>
        </w:tabs>
        <w:spacing w:line="240" w:lineRule="auto"/>
        <w:rPr>
          <w:szCs w:val="22"/>
        </w:rPr>
      </w:pPr>
    </w:p>
    <w:p w14:paraId="6B459C50" w14:textId="6AE8F028" w:rsidR="00C57C88" w:rsidRDefault="00C57C88" w:rsidP="00C57C88">
      <w:pPr>
        <w:tabs>
          <w:tab w:val="clear" w:pos="567"/>
        </w:tabs>
        <w:spacing w:line="240" w:lineRule="auto"/>
        <w:rPr>
          <w:rFonts w:asciiTheme="majorBidi" w:hAnsiTheme="majorBidi" w:cstheme="majorBidi"/>
          <w:szCs w:val="22"/>
        </w:rPr>
      </w:pPr>
      <w:r w:rsidRPr="00E57A7D">
        <w:rPr>
          <w:szCs w:val="22"/>
          <w:u w:val="single"/>
        </w:rPr>
        <w:t>Būtiska nesaderība</w:t>
      </w:r>
      <w:r w:rsidRPr="00E57A7D">
        <w:t>:</w:t>
      </w:r>
    </w:p>
    <w:p w14:paraId="4A9B7189" w14:textId="20AC3B4E" w:rsidR="00537DDB" w:rsidRDefault="00692B7A">
      <w:pPr>
        <w:tabs>
          <w:tab w:val="clear" w:pos="567"/>
        </w:tabs>
        <w:spacing w:line="240" w:lineRule="auto"/>
        <w:rPr>
          <w:rFonts w:asciiTheme="majorBidi" w:hAnsiTheme="majorBidi" w:cstheme="majorBidi"/>
          <w:szCs w:val="22"/>
        </w:rPr>
      </w:pPr>
      <w:r>
        <w:rPr>
          <w:rFonts w:asciiTheme="majorBidi" w:hAnsiTheme="majorBidi" w:cstheme="majorBidi"/>
          <w:color w:val="000000"/>
          <w:szCs w:val="22"/>
        </w:rPr>
        <w:t xml:space="preserve">Nelietot maisījumā ar citām </w:t>
      </w:r>
      <w:r>
        <w:rPr>
          <w:rFonts w:asciiTheme="majorBidi" w:hAnsiTheme="majorBidi" w:cstheme="majorBidi"/>
          <w:noProof/>
          <w:szCs w:val="22"/>
        </w:rPr>
        <w:t>veterinārajām</w:t>
      </w:r>
      <w:r>
        <w:rPr>
          <w:rFonts w:asciiTheme="majorBidi" w:hAnsiTheme="majorBidi" w:cstheme="majorBidi"/>
          <w:color w:val="000000"/>
          <w:szCs w:val="22"/>
        </w:rPr>
        <w:t xml:space="preserve"> zālēm.</w:t>
      </w:r>
      <w:r w:rsidR="00537DDB">
        <w:rPr>
          <w:rFonts w:asciiTheme="majorBidi" w:hAnsiTheme="majorBidi" w:cstheme="majorBidi"/>
          <w:szCs w:val="22"/>
        </w:rPr>
        <w:br w:type="page"/>
      </w:r>
    </w:p>
    <w:p w14:paraId="49B98117" w14:textId="77777777" w:rsidR="00AB4A2F" w:rsidRDefault="00005938">
      <w:pPr>
        <w:pStyle w:val="Style1"/>
        <w:rPr>
          <w:rFonts w:asciiTheme="majorBidi" w:hAnsiTheme="majorBidi" w:cstheme="majorBidi"/>
        </w:rPr>
      </w:pPr>
      <w:r>
        <w:rPr>
          <w:rFonts w:asciiTheme="majorBidi" w:hAnsiTheme="majorBidi" w:cstheme="majorBidi"/>
          <w:highlight w:val="lightGray"/>
        </w:rPr>
        <w:lastRenderedPageBreak/>
        <w:t>7.</w:t>
      </w:r>
      <w:r>
        <w:rPr>
          <w:rFonts w:asciiTheme="majorBidi" w:hAnsiTheme="majorBidi" w:cstheme="majorBidi"/>
        </w:rPr>
        <w:tab/>
        <w:t>Blakusparādības</w:t>
      </w:r>
    </w:p>
    <w:p w14:paraId="6C9A1A48" w14:textId="77777777" w:rsidR="00AB4A2F" w:rsidRDefault="00AB4A2F">
      <w:pPr>
        <w:tabs>
          <w:tab w:val="clear" w:pos="567"/>
        </w:tabs>
        <w:spacing w:line="240" w:lineRule="auto"/>
        <w:rPr>
          <w:rFonts w:asciiTheme="majorBidi" w:hAnsiTheme="majorBidi" w:cstheme="majorBidi"/>
          <w:iCs/>
          <w:szCs w:val="22"/>
        </w:rPr>
      </w:pPr>
    </w:p>
    <w:p w14:paraId="22A34448" w14:textId="333E293F" w:rsidR="000F59D6" w:rsidRDefault="000F59D6" w:rsidP="000F59D6">
      <w:pPr>
        <w:spacing w:line="240" w:lineRule="auto"/>
      </w:pPr>
      <w:r w:rsidRPr="0088195B">
        <w:t>Vistas:</w:t>
      </w:r>
    </w:p>
    <w:p w14:paraId="6C7F561F" w14:textId="1FD0E96C" w:rsidR="000F59D6" w:rsidRDefault="000F59D6" w:rsidP="000F59D6">
      <w:pPr>
        <w:spacing w:line="240" w:lineRule="auto"/>
      </w:pPr>
    </w:p>
    <w:tbl>
      <w:tblPr>
        <w:tblW w:w="381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5"/>
      </w:tblGrid>
      <w:tr w:rsidR="000F59D6" w:rsidRPr="007D6558" w14:paraId="67288FE5" w14:textId="77777777" w:rsidTr="00FB1D2D">
        <w:trPr>
          <w:trHeight w:val="370"/>
        </w:trPr>
        <w:tc>
          <w:tcPr>
            <w:tcW w:w="5000" w:type="pct"/>
          </w:tcPr>
          <w:p w14:paraId="6C17C68A" w14:textId="77777777" w:rsidR="000F59D6" w:rsidRPr="007D6558" w:rsidRDefault="000F59D6" w:rsidP="00FB1D2D">
            <w:pPr>
              <w:spacing w:before="60" w:after="60"/>
              <w:rPr>
                <w:szCs w:val="22"/>
              </w:rPr>
            </w:pPr>
            <w:r w:rsidRPr="00E57A7D">
              <w:t>Ļoti reti</w:t>
            </w:r>
            <w:r>
              <w:t xml:space="preserve"> </w:t>
            </w: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r>
      <w:tr w:rsidR="000F59D6" w:rsidRPr="007D6558" w14:paraId="20A7006C" w14:textId="77777777" w:rsidTr="00FB1D2D">
        <w:trPr>
          <w:trHeight w:val="417"/>
        </w:trPr>
        <w:tc>
          <w:tcPr>
            <w:tcW w:w="5000" w:type="pct"/>
          </w:tcPr>
          <w:p w14:paraId="1A253676" w14:textId="15804375" w:rsidR="000F59D6" w:rsidRPr="007D6558" w:rsidRDefault="000F59D6" w:rsidP="00FB1D2D">
            <w:pPr>
              <w:spacing w:line="240" w:lineRule="auto"/>
              <w:rPr>
                <w:szCs w:val="22"/>
              </w:rPr>
            </w:pPr>
            <w:r w:rsidRPr="00CF3F34">
              <w:rPr>
                <w:szCs w:val="22"/>
              </w:rPr>
              <w:t>Elp</w:t>
            </w:r>
            <w:r w:rsidR="00CF3F34" w:rsidRPr="00F44584">
              <w:rPr>
                <w:szCs w:val="22"/>
              </w:rPr>
              <w:t>ceļu</w:t>
            </w:r>
            <w:r w:rsidRPr="00CF3F34">
              <w:rPr>
                <w:szCs w:val="22"/>
              </w:rPr>
              <w:t xml:space="preserve"> pazīmes</w:t>
            </w:r>
            <w:r w:rsidRPr="00CF3F34">
              <w:rPr>
                <w:szCs w:val="22"/>
                <w:vertAlign w:val="superscript"/>
              </w:rPr>
              <w:t>1</w:t>
            </w:r>
          </w:p>
        </w:tc>
      </w:tr>
    </w:tbl>
    <w:p w14:paraId="41C7E183" w14:textId="77777777" w:rsidR="000F59D6" w:rsidRPr="007D6558" w:rsidRDefault="000F59D6" w:rsidP="000F59D6">
      <w:pPr>
        <w:tabs>
          <w:tab w:val="clear" w:pos="567"/>
          <w:tab w:val="left" w:pos="720"/>
        </w:tabs>
        <w:spacing w:line="240" w:lineRule="auto"/>
        <w:rPr>
          <w:szCs w:val="22"/>
        </w:rPr>
      </w:pPr>
    </w:p>
    <w:p w14:paraId="2C2333DC" w14:textId="77777777" w:rsidR="000F59D6" w:rsidRDefault="000F59D6" w:rsidP="000F59D6">
      <w:pPr>
        <w:widowControl w:val="0"/>
        <w:autoSpaceDE w:val="0"/>
        <w:autoSpaceDN w:val="0"/>
        <w:adjustRightInd w:val="0"/>
        <w:spacing w:line="240" w:lineRule="auto"/>
        <w:rPr>
          <w:rFonts w:eastAsia="Calibri"/>
        </w:rPr>
      </w:pPr>
      <w:r w:rsidRPr="007D6558">
        <w:rPr>
          <w:szCs w:val="22"/>
          <w:vertAlign w:val="superscript"/>
        </w:rPr>
        <w:t>1</w:t>
      </w:r>
      <w:r w:rsidRPr="0088195B">
        <w:rPr>
          <w:rFonts w:eastAsia="Calibri"/>
        </w:rPr>
        <w:t>Parasti viegl</w:t>
      </w:r>
      <w:r>
        <w:rPr>
          <w:rFonts w:eastAsia="Calibri"/>
        </w:rPr>
        <w:t>as</w:t>
      </w:r>
      <w:r w:rsidRPr="0088195B">
        <w:rPr>
          <w:rFonts w:eastAsia="Calibri"/>
        </w:rPr>
        <w:t xml:space="preserve"> un ilgst dažas dienas.</w:t>
      </w:r>
    </w:p>
    <w:p w14:paraId="68DA7EF6" w14:textId="77777777" w:rsidR="00AB4A2F" w:rsidRDefault="00AB4A2F">
      <w:pPr>
        <w:spacing w:line="240" w:lineRule="auto"/>
        <w:rPr>
          <w:rFonts w:asciiTheme="majorBidi" w:hAnsiTheme="majorBidi" w:cstheme="majorBidi"/>
          <w:szCs w:val="22"/>
        </w:rPr>
      </w:pPr>
    </w:p>
    <w:p w14:paraId="0344FFD7" w14:textId="2E40D55B" w:rsidR="00AB4A2F" w:rsidRDefault="00E00C94">
      <w:pPr>
        <w:tabs>
          <w:tab w:val="clear" w:pos="567"/>
        </w:tabs>
        <w:spacing w:line="240" w:lineRule="auto"/>
        <w:rPr>
          <w:rFonts w:asciiTheme="majorBidi" w:hAnsiTheme="majorBidi" w:cstheme="majorBidi"/>
          <w:iCs/>
          <w:szCs w:val="22"/>
        </w:rPr>
      </w:pPr>
      <w:r w:rsidRPr="006819D0">
        <w:t>Ir svarīgi ziņot par blakusparādībām. Tas</w:t>
      </w:r>
      <w:r w:rsidRPr="00E57A7D">
        <w:t xml:space="preserve"> ļauj pastāvīgi uzraudzīt 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bookmarkStart w:id="0" w:name="_Hlk126664699"/>
      <w:r w:rsidRPr="00E57A7D">
        <w:t xml:space="preserve">Jūs varat ziņot par </w:t>
      </w:r>
      <w:r>
        <w:t>jebkurām</w:t>
      </w:r>
      <w:r w:rsidRPr="00E57A7D">
        <w:t xml:space="preserve"> blakusparādībām arī </w:t>
      </w:r>
      <w:r w:rsidR="002B5875" w:rsidRPr="00F44584">
        <w:t>tirdzniecības atļaujas turētājam vai</w:t>
      </w:r>
      <w:r w:rsidR="002B5875">
        <w:t xml:space="preserve"> </w:t>
      </w:r>
      <w:r>
        <w:t xml:space="preserve">tirdzniecības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rsidR="00FB1D2D">
        <w:t xml:space="preserve">: </w:t>
      </w:r>
      <w:hyperlink r:id="rId8" w:history="1">
        <w:r w:rsidR="00FB1D2D" w:rsidRPr="005076EE">
          <w:rPr>
            <w:rStyle w:val="Hyperlink"/>
          </w:rPr>
          <w:t>https://www.pvd.gov.lv/lv</w:t>
        </w:r>
      </w:hyperlink>
      <w:r w:rsidRPr="00E57A7D">
        <w:t>.</w:t>
      </w:r>
      <w:bookmarkEnd w:id="0"/>
    </w:p>
    <w:p w14:paraId="09178AB0" w14:textId="3E2CF8E8" w:rsidR="00AB4A2F" w:rsidRDefault="00AB4A2F">
      <w:pPr>
        <w:tabs>
          <w:tab w:val="clear" w:pos="567"/>
        </w:tabs>
        <w:spacing w:line="240" w:lineRule="auto"/>
        <w:rPr>
          <w:rFonts w:asciiTheme="majorBidi" w:hAnsiTheme="majorBidi" w:cstheme="majorBidi"/>
          <w:iCs/>
          <w:szCs w:val="22"/>
        </w:rPr>
      </w:pPr>
    </w:p>
    <w:p w14:paraId="5E55BF43" w14:textId="4CC8DA2E" w:rsidR="00F44584" w:rsidRDefault="00F44584">
      <w:pPr>
        <w:tabs>
          <w:tab w:val="clear" w:pos="567"/>
        </w:tabs>
        <w:spacing w:line="240" w:lineRule="auto"/>
        <w:rPr>
          <w:rFonts w:asciiTheme="majorBidi" w:hAnsiTheme="majorBidi" w:cstheme="majorBidi"/>
          <w:iCs/>
          <w:szCs w:val="22"/>
        </w:rPr>
      </w:pPr>
    </w:p>
    <w:p w14:paraId="67304287" w14:textId="77777777" w:rsidR="00AB4A2F" w:rsidRDefault="00005938">
      <w:pPr>
        <w:pStyle w:val="Style1"/>
        <w:rPr>
          <w:rFonts w:asciiTheme="majorBidi" w:hAnsiTheme="majorBidi" w:cstheme="majorBidi"/>
        </w:rPr>
      </w:pPr>
      <w:r>
        <w:rPr>
          <w:rFonts w:asciiTheme="majorBidi" w:hAnsiTheme="majorBidi" w:cstheme="majorBidi"/>
          <w:highlight w:val="lightGray"/>
        </w:rPr>
        <w:t>8.</w:t>
      </w:r>
      <w:r>
        <w:rPr>
          <w:rFonts w:asciiTheme="majorBidi" w:hAnsiTheme="majorBidi" w:cstheme="majorBidi"/>
        </w:rPr>
        <w:tab/>
        <w:t>Deva katrai dzīvnieku sugai, lietošanas veids un metode</w:t>
      </w:r>
    </w:p>
    <w:p w14:paraId="4175158B" w14:textId="77777777" w:rsidR="00AB4A2F" w:rsidRDefault="00AB4A2F">
      <w:pPr>
        <w:tabs>
          <w:tab w:val="clear" w:pos="567"/>
        </w:tabs>
        <w:spacing w:line="240" w:lineRule="auto"/>
        <w:rPr>
          <w:rFonts w:asciiTheme="majorBidi" w:hAnsiTheme="majorBidi" w:cstheme="majorBidi"/>
          <w:szCs w:val="22"/>
        </w:rPr>
      </w:pPr>
    </w:p>
    <w:p w14:paraId="74090566"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Broileri:</w:t>
      </w:r>
      <w:r>
        <w:rPr>
          <w:rFonts w:asciiTheme="majorBidi" w:hAnsiTheme="majorBidi" w:cstheme="majorBidi"/>
          <w:i/>
          <w:szCs w:val="22"/>
        </w:rPr>
        <w:t xml:space="preserve"> </w:t>
      </w:r>
      <w:r>
        <w:rPr>
          <w:rFonts w:asciiTheme="majorBidi" w:hAnsiTheme="majorBidi" w:cstheme="majorBidi"/>
          <w:szCs w:val="22"/>
        </w:rPr>
        <w:t>viena vakcīnas deva no 1 dienas vecuma, izsmidzinot.</w:t>
      </w:r>
    </w:p>
    <w:p w14:paraId="19210654" w14:textId="77777777" w:rsidR="00AB4A2F" w:rsidRDefault="00005938">
      <w:pPr>
        <w:tabs>
          <w:tab w:val="clear" w:pos="567"/>
        </w:tabs>
        <w:spacing w:line="240" w:lineRule="auto"/>
        <w:rPr>
          <w:rFonts w:asciiTheme="majorBidi" w:hAnsiTheme="majorBidi" w:cstheme="majorBidi"/>
          <w:iCs/>
          <w:szCs w:val="22"/>
        </w:rPr>
      </w:pPr>
      <w:r>
        <w:rPr>
          <w:rFonts w:asciiTheme="majorBidi" w:hAnsiTheme="majorBidi" w:cstheme="majorBidi"/>
          <w:szCs w:val="22"/>
        </w:rPr>
        <w:t>Nākamās dējējvistas vai vaislas vistas:</w:t>
      </w:r>
      <w:r>
        <w:rPr>
          <w:rFonts w:asciiTheme="majorBidi" w:hAnsiTheme="majorBidi" w:cstheme="majorBidi"/>
          <w:i/>
          <w:szCs w:val="22"/>
        </w:rPr>
        <w:t xml:space="preserve"> </w:t>
      </w:r>
      <w:r>
        <w:rPr>
          <w:rFonts w:asciiTheme="majorBidi" w:hAnsiTheme="majorBidi" w:cstheme="majorBidi"/>
          <w:szCs w:val="22"/>
        </w:rPr>
        <w:t>viena vakcīnas deva no 7 dienu vecuma, izsmidzinot. Vakcīnu drīkst ievadīt jau 1 dienas vecumā nākamajām dējējvistām vai vaislas vistām ar MDA pret IBV.</w:t>
      </w:r>
    </w:p>
    <w:p w14:paraId="22FC8A20" w14:textId="77777777" w:rsidR="00AB4A2F" w:rsidRDefault="00AB4A2F">
      <w:pPr>
        <w:tabs>
          <w:tab w:val="clear" w:pos="567"/>
        </w:tabs>
        <w:spacing w:line="240" w:lineRule="auto"/>
        <w:rPr>
          <w:rFonts w:asciiTheme="majorBidi" w:hAnsiTheme="majorBidi" w:cstheme="majorBidi"/>
          <w:szCs w:val="22"/>
        </w:rPr>
      </w:pPr>
    </w:p>
    <w:p w14:paraId="4D4BBDA6" w14:textId="77777777" w:rsidR="00AB4A2F" w:rsidRDefault="00AB4A2F">
      <w:pPr>
        <w:tabs>
          <w:tab w:val="clear" w:pos="567"/>
        </w:tabs>
        <w:spacing w:line="240" w:lineRule="auto"/>
        <w:rPr>
          <w:rFonts w:asciiTheme="majorBidi" w:hAnsiTheme="majorBidi" w:cstheme="majorBidi"/>
          <w:szCs w:val="22"/>
        </w:rPr>
      </w:pPr>
    </w:p>
    <w:p w14:paraId="6DB762D7" w14:textId="77777777" w:rsidR="00AB4A2F" w:rsidRDefault="00005938">
      <w:pPr>
        <w:pStyle w:val="Style1"/>
        <w:rPr>
          <w:rFonts w:asciiTheme="majorBidi" w:hAnsiTheme="majorBidi" w:cstheme="majorBidi"/>
        </w:rPr>
      </w:pPr>
      <w:r>
        <w:rPr>
          <w:rFonts w:asciiTheme="majorBidi" w:hAnsiTheme="majorBidi" w:cstheme="majorBidi"/>
          <w:highlight w:val="lightGray"/>
        </w:rPr>
        <w:t>9.</w:t>
      </w:r>
      <w:r>
        <w:rPr>
          <w:rFonts w:asciiTheme="majorBidi" w:hAnsiTheme="majorBidi" w:cstheme="majorBidi"/>
        </w:rPr>
        <w:tab/>
        <w:t>Ieteikumi pareizai lietošanai</w:t>
      </w:r>
    </w:p>
    <w:p w14:paraId="2F57D4A2" w14:textId="77777777" w:rsidR="00AB4A2F" w:rsidRDefault="00AB4A2F">
      <w:pPr>
        <w:tabs>
          <w:tab w:val="clear" w:pos="567"/>
        </w:tabs>
        <w:spacing w:line="240" w:lineRule="auto"/>
        <w:rPr>
          <w:rFonts w:asciiTheme="majorBidi" w:hAnsiTheme="majorBidi" w:cstheme="majorBidi"/>
          <w:szCs w:val="22"/>
        </w:rPr>
      </w:pPr>
    </w:p>
    <w:p w14:paraId="57850E83" w14:textId="77080A50" w:rsidR="00AB4A2F" w:rsidRDefault="000F59D6">
      <w:pPr>
        <w:tabs>
          <w:tab w:val="clear" w:pos="567"/>
        </w:tabs>
        <w:spacing w:line="240" w:lineRule="auto"/>
        <w:rPr>
          <w:rFonts w:asciiTheme="majorBidi" w:hAnsiTheme="majorBidi" w:cstheme="majorBidi"/>
          <w:szCs w:val="22"/>
        </w:rPr>
      </w:pPr>
      <w:r>
        <w:rPr>
          <w:rFonts w:asciiTheme="majorBidi" w:hAnsiTheme="majorBidi" w:cstheme="majorBidi"/>
          <w:szCs w:val="22"/>
        </w:rPr>
        <w:t>Veterināro zāļu</w:t>
      </w:r>
      <w:r w:rsidR="00005938">
        <w:rPr>
          <w:rFonts w:asciiTheme="majorBidi" w:hAnsiTheme="majorBidi" w:cstheme="majorBidi"/>
          <w:szCs w:val="22"/>
        </w:rPr>
        <w:t xml:space="preserve"> izsmidzināšanai var lietot lielāko daļu izsmidzināšanas iekārtu. Iekārtai jāveic rupjā izsmidzināšana (pilieni lielāki par </w:t>
      </w:r>
      <w:r w:rsidR="00005938">
        <w:rPr>
          <w:rFonts w:asciiTheme="majorBidi" w:hAnsiTheme="majorBidi" w:cstheme="majorBidi"/>
          <w:noProof/>
          <w:szCs w:val="22"/>
        </w:rPr>
        <w:t xml:space="preserve">100 μm). Attālums no izsmidzinātāja līdz putnam ir atkarīgs no izmantojamās izsmidzināšanas iekārtas. Pirms izsmidzināšanas ieteicams izlasīt izsmidzināšanas iekārtas ražotāja instrukciju. Arī pēc atkārtotas suspendēšanas, suspensijas tilpumi atšķiras atkarībā no izmantojamās izsmidzināšanas iekārtas. Ieteicamais atkārtoti suspendētās suspensijas daudzums vienai devai ir starp 0,15 un 0,5 ml. </w:t>
      </w:r>
    </w:p>
    <w:p w14:paraId="268A9241"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Noņemt alumīnija vāciņu no vakcīnas flakona. Lai izšķīdinātu vakcīnas granulu, noņemt gumijas aizbāzni un flakonu iemērkt plastmasas mērtraukā ar 1 litru tīra, vēsa ūdens. Līdz pusei piepildīt flakonu ar ūdeni, uzlikt atpakaļ gumijas aizbāzni un saskalināt, lai izšķīdinātu atlikušo vakcīnu. Vakcīnas koncentrātu pievienot izsmidzinātāja tvertnē esošajā ūdenī un rūpīgi samaisīt. </w:t>
      </w:r>
    </w:p>
    <w:p w14:paraId="5D43449F" w14:textId="6DA3986F" w:rsidR="00E00C94"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Ievadīt vienu sagatavotās vakcīnas devu vienam putnam.</w:t>
      </w:r>
    </w:p>
    <w:p w14:paraId="381BDCED" w14:textId="77777777" w:rsidR="00E00C94" w:rsidRDefault="00E00C94">
      <w:pPr>
        <w:tabs>
          <w:tab w:val="clear" w:pos="567"/>
        </w:tabs>
        <w:spacing w:line="240" w:lineRule="auto"/>
        <w:rPr>
          <w:rFonts w:asciiTheme="majorBidi" w:hAnsiTheme="majorBidi" w:cstheme="majorBidi"/>
          <w:szCs w:val="22"/>
        </w:rPr>
      </w:pPr>
    </w:p>
    <w:p w14:paraId="6F4F3F7D" w14:textId="0A808A10" w:rsidR="000F59D6" w:rsidRDefault="00E00C94">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Pēc izšķīdināšanas </w:t>
      </w:r>
      <w:r w:rsidRPr="00885610">
        <w:rPr>
          <w:rFonts w:asciiTheme="majorBidi" w:hAnsiTheme="majorBidi" w:cstheme="majorBidi"/>
          <w:szCs w:val="22"/>
        </w:rPr>
        <w:t xml:space="preserve">caurspīdīga </w:t>
      </w:r>
      <w:r w:rsidR="00885610" w:rsidRPr="00F44584">
        <w:rPr>
          <w:rFonts w:asciiTheme="majorBidi" w:hAnsiTheme="majorBidi" w:cstheme="majorBidi"/>
          <w:szCs w:val="22"/>
        </w:rPr>
        <w:t>vai</w:t>
      </w:r>
      <w:r w:rsidRPr="00D125BF">
        <w:rPr>
          <w:rFonts w:asciiTheme="majorBidi" w:hAnsiTheme="majorBidi" w:cstheme="majorBidi"/>
          <w:szCs w:val="22"/>
        </w:rPr>
        <w:t xml:space="preserve"> balta, necaurspīdīga suspensija (atkarībā no izmantotā šķīdinātāja daudzuma).</w:t>
      </w:r>
    </w:p>
    <w:p w14:paraId="2D199936" w14:textId="003D49FA" w:rsidR="00AB4A2F" w:rsidRDefault="00AB4A2F">
      <w:pPr>
        <w:tabs>
          <w:tab w:val="clear" w:pos="567"/>
        </w:tabs>
        <w:spacing w:line="240" w:lineRule="auto"/>
        <w:rPr>
          <w:rFonts w:asciiTheme="majorBidi" w:hAnsiTheme="majorBidi" w:cstheme="majorBidi"/>
          <w:szCs w:val="22"/>
        </w:rPr>
      </w:pPr>
    </w:p>
    <w:p w14:paraId="4A177F0A" w14:textId="77777777" w:rsidR="00AB4A2F" w:rsidRDefault="00AB4A2F">
      <w:pPr>
        <w:tabs>
          <w:tab w:val="clear" w:pos="567"/>
        </w:tabs>
        <w:spacing w:line="240" w:lineRule="auto"/>
        <w:rPr>
          <w:rFonts w:asciiTheme="majorBidi" w:hAnsiTheme="majorBidi" w:cstheme="majorBidi"/>
          <w:iCs/>
          <w:szCs w:val="22"/>
        </w:rPr>
      </w:pPr>
    </w:p>
    <w:p w14:paraId="027174FC" w14:textId="77777777" w:rsidR="00AB4A2F" w:rsidRDefault="00005938">
      <w:pPr>
        <w:pStyle w:val="Style1"/>
        <w:rPr>
          <w:rFonts w:asciiTheme="majorBidi" w:hAnsiTheme="majorBidi" w:cstheme="majorBidi"/>
        </w:rPr>
      </w:pPr>
      <w:r>
        <w:rPr>
          <w:rFonts w:asciiTheme="majorBidi" w:hAnsiTheme="majorBidi" w:cstheme="majorBidi"/>
          <w:highlight w:val="lightGray"/>
        </w:rPr>
        <w:t>10.</w:t>
      </w:r>
      <w:r>
        <w:rPr>
          <w:rFonts w:asciiTheme="majorBidi" w:hAnsiTheme="majorBidi" w:cstheme="majorBidi"/>
        </w:rPr>
        <w:tab/>
        <w:t>Ierobežojumu periods</w:t>
      </w:r>
    </w:p>
    <w:p w14:paraId="55A18C8F" w14:textId="77777777" w:rsidR="00AB4A2F" w:rsidRDefault="00AB4A2F">
      <w:pPr>
        <w:tabs>
          <w:tab w:val="clear" w:pos="567"/>
        </w:tabs>
        <w:spacing w:line="240" w:lineRule="auto"/>
        <w:rPr>
          <w:rFonts w:asciiTheme="majorBidi" w:hAnsiTheme="majorBidi" w:cstheme="majorBidi"/>
          <w:iCs/>
          <w:szCs w:val="22"/>
        </w:rPr>
      </w:pPr>
    </w:p>
    <w:p w14:paraId="319A3FD1"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Nulle dienas.</w:t>
      </w:r>
    </w:p>
    <w:p w14:paraId="058EF4B2" w14:textId="77777777" w:rsidR="00AB4A2F" w:rsidRDefault="00AB4A2F">
      <w:pPr>
        <w:tabs>
          <w:tab w:val="clear" w:pos="567"/>
        </w:tabs>
        <w:spacing w:line="240" w:lineRule="auto"/>
        <w:rPr>
          <w:rFonts w:asciiTheme="majorBidi" w:hAnsiTheme="majorBidi" w:cstheme="majorBidi"/>
          <w:iCs/>
          <w:szCs w:val="22"/>
        </w:rPr>
      </w:pPr>
    </w:p>
    <w:p w14:paraId="584DF3E1" w14:textId="77777777" w:rsidR="00AB4A2F" w:rsidRDefault="00AB4A2F">
      <w:pPr>
        <w:tabs>
          <w:tab w:val="clear" w:pos="567"/>
        </w:tabs>
        <w:spacing w:line="240" w:lineRule="auto"/>
        <w:rPr>
          <w:rFonts w:asciiTheme="majorBidi" w:hAnsiTheme="majorBidi" w:cstheme="majorBidi"/>
          <w:iCs/>
          <w:szCs w:val="22"/>
        </w:rPr>
      </w:pPr>
    </w:p>
    <w:p w14:paraId="4191E6D0" w14:textId="77777777" w:rsidR="00AB4A2F" w:rsidRDefault="00005938">
      <w:pPr>
        <w:pStyle w:val="Style1"/>
        <w:rPr>
          <w:rFonts w:asciiTheme="majorBidi" w:hAnsiTheme="majorBidi" w:cstheme="majorBidi"/>
        </w:rPr>
      </w:pPr>
      <w:r>
        <w:rPr>
          <w:rFonts w:asciiTheme="majorBidi" w:hAnsiTheme="majorBidi" w:cstheme="majorBidi"/>
          <w:highlight w:val="lightGray"/>
        </w:rPr>
        <w:t>11.</w:t>
      </w:r>
      <w:r>
        <w:rPr>
          <w:rFonts w:asciiTheme="majorBidi" w:hAnsiTheme="majorBidi" w:cstheme="majorBidi"/>
        </w:rPr>
        <w:tab/>
        <w:t>Īpaši uzglabāšanas nosacījumi</w:t>
      </w:r>
    </w:p>
    <w:p w14:paraId="15509EDE" w14:textId="77777777" w:rsidR="00AB4A2F" w:rsidRDefault="00AB4A2F">
      <w:pPr>
        <w:numPr>
          <w:ilvl w:val="12"/>
          <w:numId w:val="0"/>
        </w:numPr>
        <w:tabs>
          <w:tab w:val="clear" w:pos="567"/>
        </w:tabs>
        <w:spacing w:line="240" w:lineRule="auto"/>
        <w:rPr>
          <w:rFonts w:asciiTheme="majorBidi" w:hAnsiTheme="majorBidi" w:cstheme="majorBidi"/>
          <w:szCs w:val="22"/>
        </w:rPr>
      </w:pPr>
    </w:p>
    <w:p w14:paraId="50EB744D"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Uzglabāt bērniem neredzamā un nepieejamā vietā. </w:t>
      </w:r>
    </w:p>
    <w:p w14:paraId="73D99D03" w14:textId="77777777" w:rsidR="00AB4A2F" w:rsidRDefault="00AB4A2F">
      <w:pPr>
        <w:tabs>
          <w:tab w:val="clear" w:pos="567"/>
        </w:tabs>
        <w:spacing w:line="240" w:lineRule="auto"/>
        <w:rPr>
          <w:rFonts w:asciiTheme="majorBidi" w:hAnsiTheme="majorBidi" w:cstheme="majorBidi"/>
          <w:szCs w:val="22"/>
        </w:rPr>
      </w:pPr>
    </w:p>
    <w:p w14:paraId="7E6983A2"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Uzglabāt flakonu kartona kastē, lai pasargātu to no gaismas.</w:t>
      </w:r>
    </w:p>
    <w:p w14:paraId="30EBCE52" w14:textId="46FCD52F"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Uzglabāt un transportēt atdzesētu (</w:t>
      </w:r>
      <w:r w:rsidR="00692B7A" w:rsidRPr="00E57A7D">
        <w:t>2 °C – 8 °C</w:t>
      </w:r>
      <w:r>
        <w:rPr>
          <w:rFonts w:asciiTheme="majorBidi" w:hAnsiTheme="majorBidi" w:cstheme="majorBidi"/>
          <w:szCs w:val="22"/>
        </w:rPr>
        <w:t>). Nesasaldēt.</w:t>
      </w:r>
    </w:p>
    <w:p w14:paraId="6156EBFD" w14:textId="466114AE" w:rsidR="00AB4A2F" w:rsidRDefault="00E00C94">
      <w:pPr>
        <w:tabs>
          <w:tab w:val="clear" w:pos="567"/>
        </w:tabs>
        <w:spacing w:line="240" w:lineRule="auto"/>
        <w:rPr>
          <w:rFonts w:asciiTheme="majorBidi" w:hAnsiTheme="majorBidi" w:cstheme="majorBidi"/>
          <w:szCs w:val="22"/>
        </w:rPr>
      </w:pPr>
      <w:r w:rsidRPr="00E57A7D">
        <w:t xml:space="preserve">Nelietot šīs veterinārās zāles, ja beidzies derīguma termiņš, kas norādīts uz kastītes vai </w:t>
      </w:r>
      <w:r>
        <w:t>flakon</w:t>
      </w:r>
      <w:r w:rsidR="00844EAC">
        <w:t>a</w:t>
      </w:r>
      <w:r>
        <w:t xml:space="preserve"> </w:t>
      </w:r>
      <w:r w:rsidRPr="00E57A7D">
        <w:t xml:space="preserve">pēc </w:t>
      </w:r>
      <w:r w:rsidR="00DD0868">
        <w:t>“</w:t>
      </w:r>
      <w:r w:rsidRPr="00E57A7D">
        <w:t>E</w:t>
      </w:r>
      <w:r>
        <w:t>xp</w:t>
      </w:r>
      <w:r w:rsidR="00DD0868">
        <w:t>”</w:t>
      </w:r>
      <w:r w:rsidRPr="00E57A7D">
        <w:t>.</w:t>
      </w:r>
      <w:r w:rsidR="00417805">
        <w:t xml:space="preserve"> </w:t>
      </w:r>
      <w:r w:rsidR="00417805" w:rsidRPr="00E57A7D">
        <w:t>Derīguma termiņš attiecas uz norādītā mēneša pēdējo dienu.</w:t>
      </w:r>
    </w:p>
    <w:p w14:paraId="5EA83EB2" w14:textId="451F9C60"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Derīguma termiņš pēc </w:t>
      </w:r>
      <w:r w:rsidR="00DD0868">
        <w:t>izšķīdināšanas</w:t>
      </w:r>
      <w:r w:rsidR="00692B7A" w:rsidRPr="00E811BF">
        <w:t xml:space="preserve"> saskaņā ar norādījumiem</w:t>
      </w:r>
      <w:r>
        <w:rPr>
          <w:rFonts w:asciiTheme="majorBidi" w:hAnsiTheme="majorBidi" w:cstheme="majorBidi"/>
          <w:szCs w:val="22"/>
        </w:rPr>
        <w:t>: 2 stundas.</w:t>
      </w:r>
    </w:p>
    <w:p w14:paraId="777A212E" w14:textId="77777777" w:rsidR="00AB4A2F" w:rsidRDefault="00AB4A2F">
      <w:pPr>
        <w:tabs>
          <w:tab w:val="clear" w:pos="567"/>
        </w:tabs>
        <w:spacing w:line="240" w:lineRule="auto"/>
        <w:rPr>
          <w:rFonts w:asciiTheme="majorBidi" w:hAnsiTheme="majorBidi" w:cstheme="majorBidi"/>
          <w:szCs w:val="22"/>
        </w:rPr>
      </w:pPr>
    </w:p>
    <w:p w14:paraId="2357DED8" w14:textId="77777777" w:rsidR="00AB4A2F" w:rsidRDefault="00AB4A2F">
      <w:pPr>
        <w:tabs>
          <w:tab w:val="clear" w:pos="567"/>
        </w:tabs>
        <w:spacing w:line="240" w:lineRule="auto"/>
        <w:rPr>
          <w:rFonts w:asciiTheme="majorBidi" w:hAnsiTheme="majorBidi" w:cstheme="majorBidi"/>
          <w:szCs w:val="22"/>
        </w:rPr>
      </w:pPr>
    </w:p>
    <w:p w14:paraId="7D0CC521" w14:textId="77777777" w:rsidR="00AB4A2F" w:rsidRDefault="00005938">
      <w:pPr>
        <w:pStyle w:val="Style1"/>
        <w:rPr>
          <w:rFonts w:asciiTheme="majorBidi" w:hAnsiTheme="majorBidi" w:cstheme="majorBidi"/>
        </w:rPr>
      </w:pPr>
      <w:r>
        <w:rPr>
          <w:rFonts w:asciiTheme="majorBidi" w:hAnsiTheme="majorBidi" w:cstheme="majorBidi"/>
          <w:highlight w:val="lightGray"/>
        </w:rPr>
        <w:t>12.</w:t>
      </w:r>
      <w:r>
        <w:rPr>
          <w:rFonts w:asciiTheme="majorBidi" w:hAnsiTheme="majorBidi" w:cstheme="majorBidi"/>
        </w:rPr>
        <w:tab/>
        <w:t>Īpaši norādījumi atkritumu iznīcināšanai</w:t>
      </w:r>
    </w:p>
    <w:p w14:paraId="6DF379D2" w14:textId="77777777" w:rsidR="00AB4A2F" w:rsidRDefault="00AB4A2F">
      <w:pPr>
        <w:tabs>
          <w:tab w:val="clear" w:pos="567"/>
        </w:tabs>
        <w:spacing w:line="240" w:lineRule="auto"/>
        <w:rPr>
          <w:rFonts w:asciiTheme="majorBidi" w:hAnsiTheme="majorBidi" w:cstheme="majorBidi"/>
          <w:szCs w:val="22"/>
        </w:rPr>
      </w:pPr>
    </w:p>
    <w:p w14:paraId="3844E4E0" w14:textId="54C9DE6A" w:rsidR="00167B0C" w:rsidRDefault="00E00C94">
      <w:pPr>
        <w:tabs>
          <w:tab w:val="clear" w:pos="567"/>
        </w:tabs>
        <w:spacing w:line="240" w:lineRule="auto"/>
        <w:jc w:val="both"/>
        <w:rPr>
          <w:rFonts w:asciiTheme="majorBidi" w:hAnsiTheme="majorBidi" w:cstheme="majorBidi"/>
          <w:szCs w:val="22"/>
        </w:rPr>
      </w:pPr>
      <w:r w:rsidRPr="00E811BF">
        <w:t>Neizmest veterinārās zāles kanalizācijā vai kopā ar sadzīves atkritumiem.</w:t>
      </w:r>
    </w:p>
    <w:p w14:paraId="7014C6D4" w14:textId="0D92C0F2" w:rsidR="00AB4A2F" w:rsidRDefault="00E00C94">
      <w:pPr>
        <w:tabs>
          <w:tab w:val="clear" w:pos="567"/>
        </w:tabs>
        <w:spacing w:line="240" w:lineRule="auto"/>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w:t>
      </w:r>
      <w:r w:rsidR="00417805">
        <w:t xml:space="preserve"> </w:t>
      </w:r>
      <w:r w:rsidR="00417805" w:rsidRPr="00E57A7D">
        <w:t>Šādi pasākumi palīdzēs aizsargāt vidi.</w:t>
      </w:r>
    </w:p>
    <w:p w14:paraId="5200B25E" w14:textId="77777777" w:rsidR="00417805" w:rsidRDefault="00417805">
      <w:pPr>
        <w:tabs>
          <w:tab w:val="clear" w:pos="567"/>
        </w:tabs>
        <w:spacing w:line="240" w:lineRule="auto"/>
        <w:rPr>
          <w:rFonts w:asciiTheme="majorBidi" w:hAnsiTheme="majorBidi" w:cstheme="majorBidi"/>
          <w:bCs/>
          <w:szCs w:val="22"/>
          <w:highlight w:val="lightGray"/>
        </w:rPr>
      </w:pPr>
    </w:p>
    <w:p w14:paraId="681C9DDC" w14:textId="2725AA00" w:rsidR="00AB4A2F" w:rsidRDefault="00417805">
      <w:pPr>
        <w:tabs>
          <w:tab w:val="clear" w:pos="567"/>
        </w:tabs>
        <w:spacing w:line="240" w:lineRule="auto"/>
      </w:pPr>
      <w:r w:rsidRPr="00E57A7D">
        <w:t>Jautājiet savam veterinārārstam, kā atbrīvoties no nevajadzīgām veterinārajām zālēm.</w:t>
      </w:r>
    </w:p>
    <w:p w14:paraId="6AF77865" w14:textId="77777777" w:rsidR="00417805" w:rsidRDefault="00417805">
      <w:pPr>
        <w:tabs>
          <w:tab w:val="clear" w:pos="567"/>
        </w:tabs>
        <w:spacing w:line="240" w:lineRule="auto"/>
        <w:rPr>
          <w:rFonts w:asciiTheme="majorBidi" w:hAnsiTheme="majorBidi" w:cstheme="majorBidi"/>
          <w:bCs/>
          <w:szCs w:val="22"/>
          <w:highlight w:val="lightGray"/>
        </w:rPr>
      </w:pPr>
    </w:p>
    <w:p w14:paraId="11EAF0CB" w14:textId="77777777" w:rsidR="00844EAC" w:rsidRDefault="00844EAC">
      <w:pPr>
        <w:tabs>
          <w:tab w:val="clear" w:pos="567"/>
        </w:tabs>
        <w:spacing w:line="240" w:lineRule="auto"/>
        <w:rPr>
          <w:rFonts w:asciiTheme="majorBidi" w:hAnsiTheme="majorBidi" w:cstheme="majorBidi"/>
          <w:bCs/>
          <w:szCs w:val="22"/>
          <w:highlight w:val="lightGray"/>
        </w:rPr>
      </w:pPr>
    </w:p>
    <w:p w14:paraId="2CE10206" w14:textId="77777777" w:rsidR="00AB4A2F" w:rsidRDefault="00005938">
      <w:pPr>
        <w:pStyle w:val="Style1"/>
        <w:rPr>
          <w:rFonts w:asciiTheme="majorBidi" w:hAnsiTheme="majorBidi" w:cstheme="majorBidi"/>
        </w:rPr>
      </w:pPr>
      <w:r>
        <w:rPr>
          <w:rFonts w:asciiTheme="majorBidi" w:hAnsiTheme="majorBidi" w:cstheme="majorBidi"/>
          <w:highlight w:val="lightGray"/>
        </w:rPr>
        <w:t>13.</w:t>
      </w:r>
      <w:r>
        <w:rPr>
          <w:rFonts w:asciiTheme="majorBidi" w:hAnsiTheme="majorBidi" w:cstheme="majorBidi"/>
        </w:rPr>
        <w:tab/>
        <w:t>Veterināro zāļu klasifikācija</w:t>
      </w:r>
    </w:p>
    <w:p w14:paraId="4F1778BF" w14:textId="77777777" w:rsidR="00AB4A2F" w:rsidRDefault="00AB4A2F">
      <w:pPr>
        <w:tabs>
          <w:tab w:val="clear" w:pos="567"/>
        </w:tabs>
        <w:spacing w:line="240" w:lineRule="auto"/>
        <w:rPr>
          <w:rFonts w:asciiTheme="majorBidi" w:hAnsiTheme="majorBidi" w:cstheme="majorBidi"/>
          <w:szCs w:val="22"/>
        </w:rPr>
      </w:pPr>
    </w:p>
    <w:p w14:paraId="146703A9" w14:textId="5F665EC0" w:rsidR="00AB4A2F" w:rsidRDefault="00417805">
      <w:pPr>
        <w:tabs>
          <w:tab w:val="clear" w:pos="567"/>
        </w:tabs>
        <w:spacing w:line="240" w:lineRule="auto"/>
        <w:rPr>
          <w:rFonts w:asciiTheme="majorBidi" w:hAnsiTheme="majorBidi" w:cstheme="majorBidi"/>
          <w:szCs w:val="22"/>
        </w:rPr>
      </w:pPr>
      <w:r w:rsidRPr="00E57A7D">
        <w:t>Recepšu veterinārās zāles.</w:t>
      </w:r>
    </w:p>
    <w:p w14:paraId="2544DABB" w14:textId="323B7CE5" w:rsidR="00E00C94" w:rsidRDefault="00E00C94">
      <w:pPr>
        <w:tabs>
          <w:tab w:val="clear" w:pos="567"/>
        </w:tabs>
        <w:spacing w:line="240" w:lineRule="auto"/>
        <w:rPr>
          <w:rFonts w:asciiTheme="majorBidi" w:hAnsiTheme="majorBidi" w:cstheme="majorBidi"/>
          <w:szCs w:val="22"/>
        </w:rPr>
      </w:pPr>
    </w:p>
    <w:p w14:paraId="2F332965" w14:textId="5066F0C6" w:rsidR="00F44584" w:rsidRDefault="00F44584">
      <w:pPr>
        <w:tabs>
          <w:tab w:val="clear" w:pos="567"/>
        </w:tabs>
        <w:spacing w:line="240" w:lineRule="auto"/>
        <w:rPr>
          <w:rFonts w:asciiTheme="majorBidi" w:hAnsiTheme="majorBidi" w:cstheme="majorBidi"/>
          <w:szCs w:val="22"/>
        </w:rPr>
      </w:pPr>
    </w:p>
    <w:p w14:paraId="4F043240" w14:textId="77777777" w:rsidR="00AB4A2F" w:rsidRDefault="00005938">
      <w:pPr>
        <w:pStyle w:val="Style1"/>
        <w:rPr>
          <w:rFonts w:asciiTheme="majorBidi" w:hAnsiTheme="majorBidi" w:cstheme="majorBidi"/>
        </w:rPr>
      </w:pPr>
      <w:r>
        <w:rPr>
          <w:rFonts w:asciiTheme="majorBidi" w:hAnsiTheme="majorBidi" w:cstheme="majorBidi"/>
          <w:highlight w:val="lightGray"/>
        </w:rPr>
        <w:t>14.</w:t>
      </w:r>
      <w:r>
        <w:rPr>
          <w:rFonts w:asciiTheme="majorBidi" w:hAnsiTheme="majorBidi" w:cstheme="majorBidi"/>
        </w:rPr>
        <w:tab/>
        <w:t>Tirdzniecības atļaujas numurs(-i) un iepakojuma lielumi</w:t>
      </w:r>
    </w:p>
    <w:p w14:paraId="6F08A281" w14:textId="77777777" w:rsidR="00AB4A2F" w:rsidRDefault="00AB4A2F">
      <w:pPr>
        <w:tabs>
          <w:tab w:val="clear" w:pos="567"/>
        </w:tabs>
        <w:spacing w:line="240" w:lineRule="auto"/>
        <w:rPr>
          <w:rFonts w:asciiTheme="majorBidi" w:hAnsiTheme="majorBidi" w:cstheme="majorBidi"/>
          <w:szCs w:val="22"/>
        </w:rPr>
      </w:pPr>
    </w:p>
    <w:p w14:paraId="394F263A" w14:textId="2BF63BC8" w:rsidR="00AB4A2F" w:rsidRDefault="00AB4A2F">
      <w:pPr>
        <w:tabs>
          <w:tab w:val="clear" w:pos="567"/>
        </w:tabs>
        <w:spacing w:line="240" w:lineRule="auto"/>
        <w:rPr>
          <w:rFonts w:asciiTheme="majorBidi" w:hAnsiTheme="majorBidi" w:cstheme="majorBidi"/>
          <w:szCs w:val="22"/>
        </w:rPr>
      </w:pPr>
    </w:p>
    <w:p w14:paraId="519AE0E5" w14:textId="1AEBB615"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Kaste ar 10 flakoniem ar 5000 devām.</w:t>
      </w:r>
    </w:p>
    <w:p w14:paraId="3DB29D3D" w14:textId="77777777" w:rsidR="00AB4A2F" w:rsidRDefault="00AB4A2F">
      <w:pPr>
        <w:tabs>
          <w:tab w:val="clear" w:pos="567"/>
        </w:tabs>
        <w:spacing w:line="240" w:lineRule="auto"/>
        <w:rPr>
          <w:rFonts w:asciiTheme="majorBidi" w:hAnsiTheme="majorBidi" w:cstheme="majorBidi"/>
          <w:szCs w:val="22"/>
        </w:rPr>
      </w:pPr>
    </w:p>
    <w:p w14:paraId="06C7F42A" w14:textId="77777777" w:rsidR="00E76CDB" w:rsidRDefault="00E76CDB">
      <w:pPr>
        <w:tabs>
          <w:tab w:val="clear" w:pos="567"/>
        </w:tabs>
        <w:spacing w:line="240" w:lineRule="auto"/>
        <w:rPr>
          <w:rFonts w:asciiTheme="majorBidi" w:hAnsiTheme="majorBidi" w:cstheme="majorBidi"/>
          <w:szCs w:val="22"/>
        </w:rPr>
      </w:pPr>
    </w:p>
    <w:p w14:paraId="20505408" w14:textId="77777777" w:rsidR="00AB4A2F" w:rsidRDefault="00005938">
      <w:pPr>
        <w:pStyle w:val="Style1"/>
        <w:rPr>
          <w:rFonts w:asciiTheme="majorBidi" w:hAnsiTheme="majorBidi" w:cstheme="majorBidi"/>
        </w:rPr>
      </w:pPr>
      <w:r>
        <w:rPr>
          <w:rFonts w:asciiTheme="majorBidi" w:hAnsiTheme="majorBidi" w:cstheme="majorBidi"/>
          <w:highlight w:val="lightGray"/>
        </w:rPr>
        <w:t>15.</w:t>
      </w:r>
      <w:r>
        <w:rPr>
          <w:rFonts w:asciiTheme="majorBidi" w:hAnsiTheme="majorBidi" w:cstheme="majorBidi"/>
        </w:rPr>
        <w:tab/>
        <w:t>Datums, kad lietošanas instrukcija pēdējo reizi pārskatīta</w:t>
      </w:r>
    </w:p>
    <w:p w14:paraId="44B476E5" w14:textId="77777777" w:rsidR="00AB4A2F" w:rsidRDefault="00AB4A2F">
      <w:pPr>
        <w:tabs>
          <w:tab w:val="clear" w:pos="567"/>
        </w:tabs>
        <w:spacing w:line="240" w:lineRule="auto"/>
        <w:rPr>
          <w:rFonts w:asciiTheme="majorBidi" w:hAnsiTheme="majorBidi" w:cstheme="majorBidi"/>
          <w:szCs w:val="22"/>
        </w:rPr>
      </w:pPr>
    </w:p>
    <w:p w14:paraId="44B25412" w14:textId="1EB73FE6" w:rsidR="0025586F" w:rsidRDefault="0025586F">
      <w:pPr>
        <w:tabs>
          <w:tab w:val="clear" w:pos="567"/>
        </w:tabs>
        <w:spacing w:line="240" w:lineRule="auto"/>
        <w:rPr>
          <w:rFonts w:asciiTheme="majorBidi" w:hAnsiTheme="majorBidi" w:cstheme="majorBidi"/>
          <w:szCs w:val="22"/>
        </w:rPr>
      </w:pPr>
      <w:r>
        <w:rPr>
          <w:rFonts w:asciiTheme="majorBidi" w:hAnsiTheme="majorBidi" w:cstheme="majorBidi"/>
          <w:szCs w:val="22"/>
        </w:rPr>
        <w:t>04/2026</w:t>
      </w:r>
    </w:p>
    <w:p w14:paraId="7652DD17" w14:textId="77777777" w:rsidR="00FA0166" w:rsidRDefault="00FA0166">
      <w:pPr>
        <w:tabs>
          <w:tab w:val="clear" w:pos="567"/>
        </w:tabs>
        <w:spacing w:line="240" w:lineRule="auto"/>
        <w:rPr>
          <w:rFonts w:asciiTheme="majorBidi" w:hAnsiTheme="majorBidi" w:cstheme="majorBidi"/>
          <w:szCs w:val="22"/>
        </w:rPr>
      </w:pPr>
    </w:p>
    <w:p w14:paraId="3FEEA92D" w14:textId="665A656E" w:rsidR="00E76CDB" w:rsidRDefault="00E76CDB" w:rsidP="00E76CDB">
      <w:pPr>
        <w:tabs>
          <w:tab w:val="clear" w:pos="567"/>
        </w:tabs>
        <w:spacing w:line="240" w:lineRule="auto"/>
      </w:pPr>
      <w:r w:rsidRPr="00E57A7D">
        <w:t>Sīkāka informācija par šīm veterinārajām zālēm ir pieejama Savienības zāļu datubāzē</w:t>
      </w:r>
      <w:r w:rsidR="00417805">
        <w:t xml:space="preserve"> (</w:t>
      </w:r>
      <w:hyperlink r:id="rId9" w:history="1">
        <w:r w:rsidR="00417805" w:rsidRPr="000569A3">
          <w:rPr>
            <w:rStyle w:val="Hyperlink"/>
          </w:rPr>
          <w:t>https://medicines.health.europa.eu/veterinary</w:t>
        </w:r>
      </w:hyperlink>
      <w:r w:rsidR="00417805">
        <w:t>).</w:t>
      </w:r>
    </w:p>
    <w:p w14:paraId="33138190" w14:textId="77777777" w:rsidR="00AB4A2F" w:rsidRDefault="00AB4A2F">
      <w:pPr>
        <w:tabs>
          <w:tab w:val="clear" w:pos="567"/>
        </w:tabs>
        <w:spacing w:line="240" w:lineRule="auto"/>
        <w:rPr>
          <w:rFonts w:asciiTheme="majorBidi" w:hAnsiTheme="majorBidi" w:cstheme="majorBidi"/>
          <w:szCs w:val="22"/>
        </w:rPr>
      </w:pPr>
    </w:p>
    <w:p w14:paraId="0E5E3161" w14:textId="77777777" w:rsidR="00AB4A2F" w:rsidRDefault="00AB4A2F">
      <w:pPr>
        <w:tabs>
          <w:tab w:val="clear" w:pos="567"/>
        </w:tabs>
        <w:spacing w:line="240" w:lineRule="auto"/>
        <w:rPr>
          <w:rFonts w:asciiTheme="majorBidi" w:hAnsiTheme="majorBidi" w:cstheme="majorBidi"/>
          <w:szCs w:val="22"/>
        </w:rPr>
      </w:pPr>
    </w:p>
    <w:p w14:paraId="4E991554" w14:textId="77777777" w:rsidR="00AB4A2F" w:rsidRDefault="00005938">
      <w:pPr>
        <w:pStyle w:val="Style1"/>
        <w:rPr>
          <w:rFonts w:asciiTheme="majorBidi" w:hAnsiTheme="majorBidi" w:cstheme="majorBidi"/>
        </w:rPr>
      </w:pPr>
      <w:r>
        <w:rPr>
          <w:rFonts w:asciiTheme="majorBidi" w:hAnsiTheme="majorBidi" w:cstheme="majorBidi"/>
          <w:highlight w:val="lightGray"/>
        </w:rPr>
        <w:t>16.</w:t>
      </w:r>
      <w:r>
        <w:rPr>
          <w:rFonts w:asciiTheme="majorBidi" w:hAnsiTheme="majorBidi" w:cstheme="majorBidi"/>
        </w:rPr>
        <w:tab/>
        <w:t>Kontaktinformācija:</w:t>
      </w:r>
    </w:p>
    <w:p w14:paraId="61D40F1B" w14:textId="77777777" w:rsidR="00AB4A2F" w:rsidRPr="00F44584" w:rsidRDefault="00AB4A2F">
      <w:pPr>
        <w:pStyle w:val="Style1"/>
        <w:rPr>
          <w:rFonts w:asciiTheme="majorBidi" w:hAnsiTheme="majorBidi" w:cstheme="majorBidi"/>
          <w:b w:val="0"/>
          <w:bCs/>
        </w:rPr>
      </w:pPr>
    </w:p>
    <w:p w14:paraId="1F54659D" w14:textId="2E743BA6" w:rsidR="00AB4A2F" w:rsidRPr="00EF2D6B" w:rsidRDefault="00E00C94">
      <w:pPr>
        <w:tabs>
          <w:tab w:val="clear" w:pos="567"/>
        </w:tabs>
        <w:spacing w:line="240" w:lineRule="auto"/>
        <w:rPr>
          <w:rFonts w:asciiTheme="majorBidi" w:hAnsiTheme="majorBidi" w:cstheme="majorBidi"/>
          <w:i/>
          <w:szCs w:val="22"/>
          <w:u w:val="single"/>
        </w:rPr>
      </w:pPr>
      <w:r w:rsidRPr="00EF2D6B">
        <w:rPr>
          <w:u w:val="single"/>
        </w:rPr>
        <w:t xml:space="preserve">Tirdzniecības atļaujas turētājs </w:t>
      </w:r>
      <w:r w:rsidRPr="00EF2D6B">
        <w:rPr>
          <w:iCs/>
          <w:szCs w:val="22"/>
          <w:u w:val="single"/>
        </w:rPr>
        <w:t>un kontaktinformācija, lai ziņotu par iespējamām blakusparādībām</w:t>
      </w:r>
      <w:r w:rsidRPr="00EF2D6B">
        <w:t>:</w:t>
      </w:r>
    </w:p>
    <w:p w14:paraId="364BF4F8" w14:textId="56C6E649" w:rsidR="0025586F" w:rsidRDefault="0025586F" w:rsidP="0025586F">
      <w:pPr>
        <w:ind w:right="-318"/>
        <w:rPr>
          <w:rFonts w:asciiTheme="majorBidi" w:hAnsiTheme="majorBidi" w:cstheme="majorBidi"/>
          <w:bCs/>
          <w:szCs w:val="22"/>
        </w:rPr>
      </w:pPr>
      <w:r>
        <w:rPr>
          <w:sz w:val="24"/>
          <w:szCs w:val="24"/>
        </w:rPr>
        <w:t>Zoetis B.V.</w:t>
      </w:r>
      <w:r w:rsidRPr="003542AD">
        <w:rPr>
          <w:rFonts w:asciiTheme="majorBidi" w:hAnsiTheme="majorBidi" w:cstheme="majorBidi"/>
          <w:bCs/>
          <w:szCs w:val="22"/>
        </w:rPr>
        <w:t xml:space="preserve">Rivium Westlaan 74. </w:t>
      </w:r>
    </w:p>
    <w:p w14:paraId="234FE116" w14:textId="77777777" w:rsidR="0025586F" w:rsidRDefault="0025586F" w:rsidP="0025586F">
      <w:pPr>
        <w:pStyle w:val="EndnoteText"/>
        <w:tabs>
          <w:tab w:val="clear" w:pos="567"/>
          <w:tab w:val="left" w:pos="720"/>
        </w:tabs>
        <w:rPr>
          <w:rFonts w:asciiTheme="majorBidi" w:hAnsiTheme="majorBidi" w:cstheme="majorBidi"/>
          <w:bCs/>
          <w:szCs w:val="22"/>
        </w:rPr>
      </w:pPr>
      <w:r w:rsidRPr="003542AD">
        <w:rPr>
          <w:rFonts w:asciiTheme="majorBidi" w:hAnsiTheme="majorBidi" w:cstheme="majorBidi"/>
          <w:bCs/>
          <w:szCs w:val="22"/>
        </w:rPr>
        <w:t>2909LD Capelle aan den Ijssel</w:t>
      </w:r>
      <w:r>
        <w:rPr>
          <w:rFonts w:asciiTheme="majorBidi" w:hAnsiTheme="majorBidi" w:cstheme="majorBidi"/>
          <w:bCs/>
          <w:szCs w:val="22"/>
        </w:rPr>
        <w:t>, Nīderlande</w:t>
      </w:r>
    </w:p>
    <w:p w14:paraId="4E3666D3" w14:textId="4F01C4A5" w:rsidR="00692B7A" w:rsidRDefault="0025586F">
      <w:pPr>
        <w:tabs>
          <w:tab w:val="clear" w:pos="567"/>
        </w:tabs>
        <w:spacing w:line="240" w:lineRule="auto"/>
        <w:rPr>
          <w:rFonts w:asciiTheme="majorBidi" w:hAnsiTheme="majorBidi" w:cstheme="majorBidi"/>
          <w:szCs w:val="22"/>
        </w:rPr>
      </w:pPr>
      <w:r>
        <w:rPr>
          <w:rFonts w:asciiTheme="majorBidi" w:hAnsiTheme="majorBidi" w:cstheme="majorBidi"/>
          <w:bCs/>
          <w:szCs w:val="22"/>
        </w:rPr>
        <w:t>Tel. +31 (0)10 714 0900</w:t>
      </w:r>
      <w:r w:rsidRPr="0025586F" w:rsidDel="0025586F">
        <w:rPr>
          <w:rFonts w:asciiTheme="majorBidi" w:hAnsiTheme="majorBidi" w:cstheme="majorBidi"/>
          <w:bCs/>
          <w:szCs w:val="22"/>
        </w:rPr>
        <w:t xml:space="preserve"> </w:t>
      </w:r>
    </w:p>
    <w:p w14:paraId="244D28BE" w14:textId="77777777" w:rsidR="00006525" w:rsidRDefault="00006525">
      <w:pPr>
        <w:tabs>
          <w:tab w:val="clear" w:pos="567"/>
        </w:tabs>
        <w:spacing w:line="240" w:lineRule="auto"/>
        <w:rPr>
          <w:rFonts w:asciiTheme="majorBidi" w:hAnsiTheme="majorBidi" w:cstheme="majorBidi"/>
          <w:szCs w:val="22"/>
          <w:u w:val="single"/>
        </w:rPr>
      </w:pPr>
    </w:p>
    <w:p w14:paraId="465A6B2D" w14:textId="5A846615" w:rsidR="00AB4A2F" w:rsidRPr="00005938" w:rsidRDefault="00005938">
      <w:pPr>
        <w:tabs>
          <w:tab w:val="clear" w:pos="567"/>
        </w:tabs>
        <w:spacing w:line="240" w:lineRule="auto"/>
        <w:rPr>
          <w:rFonts w:asciiTheme="majorBidi" w:hAnsiTheme="majorBidi" w:cstheme="majorBidi"/>
          <w:szCs w:val="22"/>
          <w:u w:val="single"/>
        </w:rPr>
      </w:pPr>
      <w:r w:rsidRPr="00005938">
        <w:rPr>
          <w:rFonts w:asciiTheme="majorBidi" w:hAnsiTheme="majorBidi" w:cstheme="majorBidi"/>
          <w:szCs w:val="22"/>
          <w:u w:val="single"/>
        </w:rPr>
        <w:t>Par sērijas izlaidi atbildīgais ražotājs:</w:t>
      </w:r>
    </w:p>
    <w:p w14:paraId="15CE88B9" w14:textId="5329F2FE" w:rsidR="00AB4A2F" w:rsidRDefault="00005938">
      <w:pPr>
        <w:tabs>
          <w:tab w:val="clear" w:pos="567"/>
        </w:tabs>
        <w:autoSpaceDE w:val="0"/>
        <w:autoSpaceDN w:val="0"/>
        <w:adjustRightInd w:val="0"/>
        <w:spacing w:line="240" w:lineRule="auto"/>
        <w:rPr>
          <w:rFonts w:asciiTheme="majorBidi" w:hAnsiTheme="majorBidi" w:cstheme="majorBidi"/>
          <w:color w:val="000000"/>
          <w:szCs w:val="22"/>
          <w:lang w:eastAsia="ru-RU"/>
        </w:rPr>
      </w:pPr>
      <w:r>
        <w:rPr>
          <w:rFonts w:asciiTheme="majorBidi" w:hAnsiTheme="majorBidi" w:cstheme="majorBidi"/>
          <w:color w:val="000000"/>
          <w:szCs w:val="22"/>
          <w:lang w:eastAsia="ru-RU"/>
        </w:rPr>
        <w:t>Zoetis Manufacturing &amp; Research Spain, S.L</w:t>
      </w:r>
      <w:r w:rsidR="00E00C94">
        <w:rPr>
          <w:rFonts w:asciiTheme="majorBidi" w:hAnsiTheme="majorBidi" w:cstheme="majorBidi"/>
          <w:color w:val="000000"/>
          <w:szCs w:val="22"/>
          <w:lang w:eastAsia="ru-RU"/>
        </w:rPr>
        <w:t>.</w:t>
      </w:r>
    </w:p>
    <w:p w14:paraId="62A677FF" w14:textId="77777777" w:rsidR="00E00C94" w:rsidRPr="003B2C8F" w:rsidRDefault="00E00C94" w:rsidP="00E00C94">
      <w:pPr>
        <w:rPr>
          <w:szCs w:val="22"/>
          <w:lang w:val="pt-PT"/>
        </w:rPr>
      </w:pPr>
      <w:r w:rsidRPr="003B2C8F">
        <w:rPr>
          <w:szCs w:val="22"/>
          <w:lang w:val="pt-PT"/>
        </w:rPr>
        <w:t>Carretera De Camprodon S/n</w:t>
      </w:r>
    </w:p>
    <w:p w14:paraId="27565AD6" w14:textId="77777777" w:rsidR="00E00C94" w:rsidRPr="003B2C8F" w:rsidRDefault="00E00C94" w:rsidP="00E00C94">
      <w:pPr>
        <w:rPr>
          <w:szCs w:val="22"/>
          <w:lang w:val="pt-PT"/>
        </w:rPr>
      </w:pPr>
      <w:r w:rsidRPr="003B2C8F">
        <w:rPr>
          <w:szCs w:val="22"/>
        </w:rPr>
        <w:t>La Vall De Bianya</w:t>
      </w:r>
    </w:p>
    <w:p w14:paraId="0594620F" w14:textId="5D72F248" w:rsidR="00167B0C" w:rsidRDefault="00E00C94" w:rsidP="00E00C94">
      <w:pPr>
        <w:tabs>
          <w:tab w:val="clear" w:pos="567"/>
        </w:tabs>
        <w:autoSpaceDE w:val="0"/>
        <w:autoSpaceDN w:val="0"/>
        <w:adjustRightInd w:val="0"/>
        <w:spacing w:line="240" w:lineRule="auto"/>
        <w:rPr>
          <w:rFonts w:asciiTheme="majorBidi" w:hAnsiTheme="majorBidi" w:cstheme="majorBidi"/>
          <w:color w:val="000000"/>
          <w:szCs w:val="22"/>
          <w:lang w:eastAsia="ru-RU"/>
        </w:rPr>
      </w:pPr>
      <w:r w:rsidRPr="003B2C8F">
        <w:rPr>
          <w:szCs w:val="22"/>
        </w:rPr>
        <w:t xml:space="preserve">17813 </w:t>
      </w:r>
      <w:r w:rsidR="00417805" w:rsidRPr="003B2C8F">
        <w:rPr>
          <w:szCs w:val="22"/>
        </w:rPr>
        <w:t>Girona</w:t>
      </w:r>
      <w:r w:rsidR="00417805" w:rsidDel="00E00C94">
        <w:rPr>
          <w:rFonts w:asciiTheme="majorBidi" w:hAnsiTheme="majorBidi" w:cstheme="majorBidi"/>
          <w:color w:val="000000"/>
          <w:szCs w:val="22"/>
          <w:lang w:eastAsia="ru-RU"/>
        </w:rPr>
        <w:t xml:space="preserve"> </w:t>
      </w:r>
    </w:p>
    <w:p w14:paraId="0CDCC93C" w14:textId="77777777" w:rsidR="00AB4A2F" w:rsidRDefault="00005938">
      <w:pPr>
        <w:tabs>
          <w:tab w:val="clear" w:pos="567"/>
        </w:tabs>
        <w:spacing w:line="240" w:lineRule="auto"/>
        <w:rPr>
          <w:rFonts w:asciiTheme="majorBidi" w:hAnsiTheme="majorBidi" w:cstheme="majorBidi"/>
          <w:b/>
          <w:szCs w:val="22"/>
          <w:u w:val="single"/>
        </w:rPr>
      </w:pPr>
      <w:r>
        <w:rPr>
          <w:rFonts w:asciiTheme="majorBidi" w:hAnsiTheme="majorBidi" w:cstheme="majorBidi"/>
          <w:color w:val="000000"/>
          <w:szCs w:val="22"/>
          <w:lang w:eastAsia="ru-RU"/>
        </w:rPr>
        <w:t>Spānija</w:t>
      </w:r>
    </w:p>
    <w:p w14:paraId="687FE0A4" w14:textId="77777777" w:rsidR="00E00C94" w:rsidRDefault="00E00C94">
      <w:pPr>
        <w:tabs>
          <w:tab w:val="clear" w:pos="567"/>
        </w:tabs>
        <w:spacing w:line="240" w:lineRule="auto"/>
        <w:rPr>
          <w:rFonts w:asciiTheme="majorBidi" w:hAnsiTheme="majorBidi" w:cstheme="majorBidi"/>
          <w:szCs w:val="22"/>
        </w:rPr>
      </w:pPr>
    </w:p>
    <w:p w14:paraId="3ABB5014" w14:textId="77777777" w:rsidR="00AB4A2F" w:rsidRDefault="00005938">
      <w:pPr>
        <w:pStyle w:val="Style1"/>
        <w:rPr>
          <w:rFonts w:asciiTheme="majorBidi" w:hAnsiTheme="majorBidi" w:cstheme="majorBidi"/>
        </w:rPr>
      </w:pPr>
      <w:r>
        <w:rPr>
          <w:rFonts w:asciiTheme="majorBidi" w:hAnsiTheme="majorBidi" w:cstheme="majorBidi"/>
          <w:highlight w:val="lightGray"/>
        </w:rPr>
        <w:t>17.</w:t>
      </w:r>
      <w:r>
        <w:rPr>
          <w:rFonts w:asciiTheme="majorBidi" w:hAnsiTheme="majorBidi" w:cstheme="majorBidi"/>
        </w:rPr>
        <w:tab/>
        <w:t>Cita informācija</w:t>
      </w:r>
    </w:p>
    <w:p w14:paraId="3EFBD45A" w14:textId="77777777" w:rsidR="00AB4A2F" w:rsidRDefault="00AB4A2F">
      <w:pPr>
        <w:tabs>
          <w:tab w:val="clear" w:pos="567"/>
        </w:tabs>
        <w:spacing w:line="240" w:lineRule="auto"/>
        <w:rPr>
          <w:rFonts w:asciiTheme="majorBidi" w:hAnsiTheme="majorBidi" w:cstheme="majorBidi"/>
          <w:szCs w:val="22"/>
        </w:rPr>
      </w:pPr>
    </w:p>
    <w:p w14:paraId="53744566" w14:textId="38532B3F" w:rsidR="00417805" w:rsidRDefault="00DD0868" w:rsidP="00417805">
      <w:pPr>
        <w:tabs>
          <w:tab w:val="clear" w:pos="567"/>
        </w:tabs>
        <w:spacing w:line="240" w:lineRule="auto"/>
        <w:rPr>
          <w:rFonts w:asciiTheme="majorBidi" w:hAnsiTheme="majorBidi" w:cstheme="majorBidi"/>
          <w:color w:val="000000"/>
          <w:szCs w:val="22"/>
        </w:rPr>
      </w:pPr>
      <w:r>
        <w:rPr>
          <w:rFonts w:asciiTheme="majorBidi" w:hAnsiTheme="majorBidi" w:cstheme="majorBidi"/>
          <w:color w:val="000000"/>
          <w:szCs w:val="22"/>
        </w:rPr>
        <w:t>Recepšu veterinārās zāles.</w:t>
      </w:r>
    </w:p>
    <w:p w14:paraId="20AA3B3B" w14:textId="77777777" w:rsidR="00417805" w:rsidRDefault="00417805" w:rsidP="00417805">
      <w:pPr>
        <w:tabs>
          <w:tab w:val="clear" w:pos="567"/>
        </w:tabs>
        <w:spacing w:line="240" w:lineRule="auto"/>
        <w:rPr>
          <w:rFonts w:asciiTheme="majorBidi" w:hAnsiTheme="majorBidi" w:cstheme="majorBidi"/>
          <w:szCs w:val="22"/>
        </w:rPr>
      </w:pPr>
    </w:p>
    <w:p w14:paraId="12AE1010" w14:textId="5C791429" w:rsidR="00AB6BE6" w:rsidRDefault="00AB6BE6" w:rsidP="00AB6BE6">
      <w:pPr>
        <w:tabs>
          <w:tab w:val="clear" w:pos="567"/>
        </w:tabs>
        <w:spacing w:line="240" w:lineRule="auto"/>
        <w:rPr>
          <w:rFonts w:asciiTheme="majorBidi" w:hAnsiTheme="majorBidi" w:cstheme="majorBidi"/>
          <w:szCs w:val="22"/>
        </w:rPr>
      </w:pPr>
      <w:r>
        <w:rPr>
          <w:rFonts w:asciiTheme="majorBidi" w:hAnsiTheme="majorBidi" w:cstheme="majorBidi"/>
          <w:szCs w:val="22"/>
        </w:rPr>
        <w:t>Aktīva</w:t>
      </w:r>
      <w:r w:rsidR="00885610">
        <w:rPr>
          <w:rFonts w:asciiTheme="majorBidi" w:hAnsiTheme="majorBidi" w:cstheme="majorBidi"/>
          <w:szCs w:val="22"/>
        </w:rPr>
        <w:t>i</w:t>
      </w:r>
      <w:r>
        <w:rPr>
          <w:rFonts w:asciiTheme="majorBidi" w:hAnsiTheme="majorBidi" w:cstheme="majorBidi"/>
          <w:szCs w:val="22"/>
        </w:rPr>
        <w:t xml:space="preserve"> imunizācija</w:t>
      </w:r>
      <w:r w:rsidR="00885610">
        <w:rPr>
          <w:rFonts w:asciiTheme="majorBidi" w:hAnsiTheme="majorBidi" w:cstheme="majorBidi"/>
          <w:szCs w:val="22"/>
        </w:rPr>
        <w:t xml:space="preserve">i </w:t>
      </w:r>
      <w:r>
        <w:rPr>
          <w:rFonts w:asciiTheme="majorBidi" w:hAnsiTheme="majorBidi" w:cstheme="majorBidi"/>
          <w:szCs w:val="22"/>
        </w:rPr>
        <w:t>pret putnu infekciozā bronhīta vīrusa IB QX līdzīgu varianta celmu, kas izraisa infekciozo bronhītu vistām.</w:t>
      </w:r>
    </w:p>
    <w:p w14:paraId="07ED580B" w14:textId="77777777" w:rsidR="001C7249" w:rsidRDefault="001C7249" w:rsidP="00AB6BE6">
      <w:pPr>
        <w:tabs>
          <w:tab w:val="clear" w:pos="567"/>
        </w:tabs>
        <w:spacing w:line="240" w:lineRule="auto"/>
        <w:rPr>
          <w:rFonts w:asciiTheme="majorBidi" w:hAnsiTheme="majorBidi" w:cstheme="majorBidi"/>
          <w:szCs w:val="22"/>
        </w:rPr>
      </w:pPr>
    </w:p>
    <w:p w14:paraId="159B219F" w14:textId="77777777" w:rsidR="001C7249" w:rsidRPr="00EF2D6B" w:rsidRDefault="001C7249" w:rsidP="001C7249">
      <w:pPr>
        <w:spacing w:line="240" w:lineRule="auto"/>
        <w:jc w:val="both"/>
        <w:rPr>
          <w:b/>
          <w:bCs/>
          <w:lang w:eastAsia="lv-LV"/>
        </w:rPr>
      </w:pPr>
      <w:r w:rsidRPr="00EF2D6B">
        <w:rPr>
          <w:b/>
          <w:bCs/>
          <w:lang w:eastAsia="lv-LV"/>
        </w:rPr>
        <w:t>PARALĒLI TIRGOTO VETERINĀRO ZĀĻU IZPLATĪTĀJS:</w:t>
      </w:r>
    </w:p>
    <w:p w14:paraId="7B658D86" w14:textId="77777777" w:rsidR="001C7249" w:rsidRPr="00EF2D6B" w:rsidRDefault="001C7249" w:rsidP="001C7249">
      <w:pPr>
        <w:spacing w:line="240" w:lineRule="auto"/>
        <w:jc w:val="both"/>
        <w:rPr>
          <w:lang w:eastAsia="lv-LV"/>
        </w:rPr>
      </w:pPr>
      <w:r w:rsidRPr="00EF2D6B">
        <w:rPr>
          <w:lang w:eastAsia="lv-LV"/>
        </w:rPr>
        <w:t xml:space="preserve">SIA “Vetmarket”, Eglaines iela 1, Ozolnieki, Jelgavas novads, LV-3018, Tel.: +37129999662, www.vetmarket.lv </w:t>
      </w:r>
    </w:p>
    <w:p w14:paraId="01F359CD" w14:textId="77777777" w:rsidR="001C7249" w:rsidRPr="00EF2D6B" w:rsidRDefault="001C7249" w:rsidP="001C7249">
      <w:pPr>
        <w:spacing w:line="240" w:lineRule="auto"/>
        <w:jc w:val="both"/>
      </w:pPr>
      <w:r w:rsidRPr="00EF2D6B">
        <w:rPr>
          <w:b/>
          <w:bCs/>
          <w:lang w:eastAsia="lv-LV"/>
        </w:rPr>
        <w:t>Veterināro zāļu pārmarķētājs:</w:t>
      </w:r>
      <w:r w:rsidRPr="00EF2D6B">
        <w:rPr>
          <w:lang w:eastAsia="lv-LV"/>
        </w:rPr>
        <w:t xml:space="preserve"> </w:t>
      </w:r>
    </w:p>
    <w:p w14:paraId="6FC8B45C" w14:textId="77777777" w:rsidR="001C7249" w:rsidRDefault="001C7249" w:rsidP="001C7249">
      <w:pPr>
        <w:spacing w:line="240" w:lineRule="auto"/>
        <w:jc w:val="both"/>
        <w:rPr>
          <w:b/>
          <w:bCs/>
          <w:lang w:eastAsia="lv-LV"/>
        </w:rPr>
      </w:pPr>
      <w:r w:rsidRPr="00EF2D6B">
        <w:rPr>
          <w:b/>
          <w:bCs/>
          <w:lang w:eastAsia="lv-LV"/>
        </w:rPr>
        <w:t xml:space="preserve">Pārmarķēšanas sērijas Nr.: </w:t>
      </w:r>
    </w:p>
    <w:p w14:paraId="23B927A0" w14:textId="0D858F36" w:rsidR="00A039CE" w:rsidRPr="004F73DC" w:rsidRDefault="00A039CE" w:rsidP="001C7249">
      <w:pPr>
        <w:spacing w:line="240" w:lineRule="auto"/>
        <w:jc w:val="both"/>
        <w:rPr>
          <w:lang w:eastAsia="lv-LV"/>
        </w:rPr>
      </w:pPr>
      <w:r w:rsidRPr="004D6235">
        <w:rPr>
          <w:b/>
          <w:bCs/>
          <w:color w:val="000000"/>
          <w:szCs w:val="22"/>
        </w:rPr>
        <w:lastRenderedPageBreak/>
        <w:t>Paralēli tirgoto veterināro zāļu reģistrācijas numurs Latvijas veterināro zāļu reģistrā:</w:t>
      </w:r>
      <w:r w:rsidR="004F73DC" w:rsidRPr="004F73DC">
        <w:rPr>
          <w:b/>
          <w:bCs/>
          <w:color w:val="000000"/>
          <w:szCs w:val="22"/>
        </w:rPr>
        <w:t xml:space="preserve"> </w:t>
      </w:r>
      <w:r w:rsidR="004F73DC" w:rsidRPr="00EF2D6B">
        <w:rPr>
          <w:color w:val="000000"/>
          <w:szCs w:val="22"/>
        </w:rPr>
        <w:t>V/I/26/0019</w:t>
      </w:r>
    </w:p>
    <w:p w14:paraId="73E0E416" w14:textId="77777777" w:rsidR="001C7249" w:rsidRDefault="001C7249" w:rsidP="00AB6BE6">
      <w:pPr>
        <w:tabs>
          <w:tab w:val="clear" w:pos="567"/>
        </w:tabs>
        <w:spacing w:line="240" w:lineRule="auto"/>
        <w:rPr>
          <w:rFonts w:asciiTheme="majorBidi" w:hAnsiTheme="majorBidi" w:cstheme="majorBidi"/>
          <w:szCs w:val="22"/>
        </w:rPr>
      </w:pPr>
    </w:p>
    <w:sectPr w:rsidR="001C7249">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70EA6" w14:textId="77777777" w:rsidR="004D45BA" w:rsidRDefault="004D45BA">
      <w:pPr>
        <w:spacing w:line="240" w:lineRule="auto"/>
      </w:pPr>
      <w:r>
        <w:separator/>
      </w:r>
    </w:p>
  </w:endnote>
  <w:endnote w:type="continuationSeparator" w:id="0">
    <w:p w14:paraId="1D1120F6" w14:textId="77777777" w:rsidR="004D45BA" w:rsidRDefault="004D45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E39E4" w14:textId="77777777" w:rsidR="00FB1D2D" w:rsidRDefault="00FB1D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410BB" w14:textId="77777777" w:rsidR="00FB1D2D" w:rsidRDefault="00FB1D2D">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noProof/>
      </w:rPr>
      <w:t>5</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1D46D" w14:textId="77777777" w:rsidR="00FB1D2D" w:rsidRDefault="00FB1D2D">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1D455" w14:textId="77777777" w:rsidR="004D45BA" w:rsidRDefault="004D45BA">
      <w:pPr>
        <w:spacing w:line="240" w:lineRule="auto"/>
      </w:pPr>
      <w:r>
        <w:separator/>
      </w:r>
    </w:p>
  </w:footnote>
  <w:footnote w:type="continuationSeparator" w:id="0">
    <w:p w14:paraId="04327698" w14:textId="77777777" w:rsidR="004D45BA" w:rsidRDefault="004D45B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2B114" w14:textId="77777777" w:rsidR="00FB1D2D" w:rsidRDefault="00FB1D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927EA" w14:textId="77777777" w:rsidR="00FB1D2D" w:rsidRDefault="00FB1D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1CF26" w14:textId="77777777" w:rsidR="00FB1D2D" w:rsidRDefault="00FB1D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E2A7B3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91CA9B7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36E705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2C4CAAF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4648A76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EA49D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7C5E9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73859D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E1CEE7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BD2B91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num w:numId="1" w16cid:durableId="304623134">
    <w:abstractNumId w:val="11"/>
  </w:num>
  <w:num w:numId="2" w16cid:durableId="1670060496">
    <w:abstractNumId w:val="10"/>
  </w:num>
  <w:num w:numId="3" w16cid:durableId="1979335831">
    <w:abstractNumId w:val="12"/>
  </w:num>
  <w:num w:numId="4" w16cid:durableId="1823236190">
    <w:abstractNumId w:val="9"/>
  </w:num>
  <w:num w:numId="5" w16cid:durableId="42485380">
    <w:abstractNumId w:val="7"/>
  </w:num>
  <w:num w:numId="6" w16cid:durableId="328870225">
    <w:abstractNumId w:val="6"/>
  </w:num>
  <w:num w:numId="7" w16cid:durableId="886644770">
    <w:abstractNumId w:val="5"/>
  </w:num>
  <w:num w:numId="8" w16cid:durableId="291256271">
    <w:abstractNumId w:val="4"/>
  </w:num>
  <w:num w:numId="9" w16cid:durableId="2135756954">
    <w:abstractNumId w:val="8"/>
  </w:num>
  <w:num w:numId="10" w16cid:durableId="787506890">
    <w:abstractNumId w:val="3"/>
  </w:num>
  <w:num w:numId="11" w16cid:durableId="1471552691">
    <w:abstractNumId w:val="2"/>
  </w:num>
  <w:num w:numId="12" w16cid:durableId="1952738701">
    <w:abstractNumId w:val="1"/>
  </w:num>
  <w:num w:numId="13" w16cid:durableId="1053389198">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AB4A2F"/>
    <w:rsid w:val="00005938"/>
    <w:rsid w:val="00006525"/>
    <w:rsid w:val="00070988"/>
    <w:rsid w:val="000715B2"/>
    <w:rsid w:val="00082B4D"/>
    <w:rsid w:val="00092010"/>
    <w:rsid w:val="00096B7A"/>
    <w:rsid w:val="000F59D6"/>
    <w:rsid w:val="000F6AE5"/>
    <w:rsid w:val="00111265"/>
    <w:rsid w:val="001315BF"/>
    <w:rsid w:val="00134586"/>
    <w:rsid w:val="00145A6E"/>
    <w:rsid w:val="00167B0C"/>
    <w:rsid w:val="001C1037"/>
    <w:rsid w:val="001C7249"/>
    <w:rsid w:val="002349B3"/>
    <w:rsid w:val="00236132"/>
    <w:rsid w:val="0025586F"/>
    <w:rsid w:val="00275A02"/>
    <w:rsid w:val="002B5875"/>
    <w:rsid w:val="002C54AE"/>
    <w:rsid w:val="002D634A"/>
    <w:rsid w:val="002D7253"/>
    <w:rsid w:val="002E3F9C"/>
    <w:rsid w:val="00342B92"/>
    <w:rsid w:val="003A12C8"/>
    <w:rsid w:val="00417805"/>
    <w:rsid w:val="00423A74"/>
    <w:rsid w:val="00462743"/>
    <w:rsid w:val="00484315"/>
    <w:rsid w:val="00493F3D"/>
    <w:rsid w:val="004D45BA"/>
    <w:rsid w:val="004E1B69"/>
    <w:rsid w:val="004F73DC"/>
    <w:rsid w:val="00522639"/>
    <w:rsid w:val="005306B4"/>
    <w:rsid w:val="00537DDB"/>
    <w:rsid w:val="00586EAF"/>
    <w:rsid w:val="006069F7"/>
    <w:rsid w:val="00667B36"/>
    <w:rsid w:val="0067739B"/>
    <w:rsid w:val="00681B31"/>
    <w:rsid w:val="00692B7A"/>
    <w:rsid w:val="006E0A67"/>
    <w:rsid w:val="006F78ED"/>
    <w:rsid w:val="007626B4"/>
    <w:rsid w:val="0078048C"/>
    <w:rsid w:val="007D3B97"/>
    <w:rsid w:val="00844EAC"/>
    <w:rsid w:val="00885610"/>
    <w:rsid w:val="00985FC5"/>
    <w:rsid w:val="009A330A"/>
    <w:rsid w:val="009D74CA"/>
    <w:rsid w:val="00A039CE"/>
    <w:rsid w:val="00A553E8"/>
    <w:rsid w:val="00A93BFE"/>
    <w:rsid w:val="00AB4A2F"/>
    <w:rsid w:val="00AB6BE6"/>
    <w:rsid w:val="00BB6383"/>
    <w:rsid w:val="00C37421"/>
    <w:rsid w:val="00C57C88"/>
    <w:rsid w:val="00C73513"/>
    <w:rsid w:val="00CA20D1"/>
    <w:rsid w:val="00CB08F8"/>
    <w:rsid w:val="00CB641F"/>
    <w:rsid w:val="00CD75AC"/>
    <w:rsid w:val="00CF3F34"/>
    <w:rsid w:val="00CF596F"/>
    <w:rsid w:val="00D125BF"/>
    <w:rsid w:val="00D3554C"/>
    <w:rsid w:val="00D5347D"/>
    <w:rsid w:val="00D93AD3"/>
    <w:rsid w:val="00DD0868"/>
    <w:rsid w:val="00DE6D47"/>
    <w:rsid w:val="00E00C94"/>
    <w:rsid w:val="00E27D7E"/>
    <w:rsid w:val="00E32B95"/>
    <w:rsid w:val="00E76CDB"/>
    <w:rsid w:val="00ED7268"/>
    <w:rsid w:val="00EF2D6B"/>
    <w:rsid w:val="00F44584"/>
    <w:rsid w:val="00F75A0A"/>
    <w:rsid w:val="00F81559"/>
    <w:rsid w:val="00F91B6B"/>
    <w:rsid w:val="00FA0166"/>
    <w:rsid w:val="00FB1D2D"/>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ABB25F"/>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Preformatted" w:uiPriority="99"/>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link w:val="CommentSubjectChar"/>
    <w:uiPriority w:val="99"/>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2"/>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3"/>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paragraph" w:customStyle="1" w:styleId="TITLEA1">
    <w:name w:val="TITLE A1"/>
    <w:basedOn w:val="Normal"/>
    <w:link w:val="TITLEA1Char"/>
    <w:qFormat/>
    <w:pPr>
      <w:tabs>
        <w:tab w:val="clear" w:pos="567"/>
      </w:tabs>
      <w:spacing w:line="240" w:lineRule="auto"/>
      <w:jc w:val="center"/>
    </w:pPr>
    <w:rPr>
      <w:b/>
      <w:szCs w:val="22"/>
    </w:rPr>
  </w:style>
  <w:style w:type="paragraph" w:styleId="Bibliography">
    <w:name w:val="Bibliography"/>
    <w:basedOn w:val="Normal"/>
    <w:next w:val="Normal"/>
    <w:uiPriority w:val="37"/>
    <w:semiHidden/>
    <w:unhideWhenUsed/>
  </w:style>
  <w:style w:type="character" w:customStyle="1" w:styleId="TITLEA1Char">
    <w:name w:val="TITLE A1 Char"/>
    <w:basedOn w:val="DefaultParagraphFont"/>
    <w:link w:val="TITLEA1"/>
    <w:rPr>
      <w:b/>
      <w:sz w:val="22"/>
      <w:szCs w:val="22"/>
      <w:lang w:eastAsia="en-US"/>
    </w:rPr>
  </w:style>
  <w:style w:type="paragraph" w:styleId="BodyTextFirstIndent">
    <w:name w:val="Body Text First Indent"/>
    <w:basedOn w:val="BodyText"/>
    <w:link w:val="BodyTextFirstIndentChar"/>
    <w:pPr>
      <w:tabs>
        <w:tab w:val="left" w:pos="567"/>
      </w:tabs>
      <w:spacing w:line="260" w:lineRule="exact"/>
      <w:ind w:firstLine="360"/>
      <w:jc w:val="left"/>
    </w:pPr>
  </w:style>
  <w:style w:type="character" w:customStyle="1" w:styleId="BodyTextChar">
    <w:name w:val="Body Text Char"/>
    <w:basedOn w:val="DefaultParagraphFont"/>
    <w:link w:val="BodyText"/>
    <w:rPr>
      <w:sz w:val="22"/>
      <w:lang w:eastAsia="en-US"/>
    </w:rPr>
  </w:style>
  <w:style w:type="character" w:customStyle="1" w:styleId="BodyTextFirstIndentChar">
    <w:name w:val="Body Text First Indent Char"/>
    <w:basedOn w:val="BodyTextChar"/>
    <w:link w:val="BodyTextFirstIndent"/>
    <w:rPr>
      <w:sz w:val="22"/>
      <w:lang w:eastAsia="en-US"/>
    </w:rPr>
  </w:style>
  <w:style w:type="paragraph" w:styleId="BodyTextFirstIndent2">
    <w:name w:val="Body Text First Indent 2"/>
    <w:basedOn w:val="BodyTextIndent"/>
    <w:link w:val="BodyTextFirstIndent2Char"/>
    <w:pPr>
      <w:tabs>
        <w:tab w:val="left" w:pos="567"/>
      </w:tabs>
      <w:spacing w:line="260" w:lineRule="exact"/>
      <w:ind w:left="360" w:firstLine="360"/>
    </w:pPr>
    <w:rPr>
      <w:b w:val="0"/>
    </w:rPr>
  </w:style>
  <w:style w:type="character" w:customStyle="1" w:styleId="BodyTextIndentChar">
    <w:name w:val="Body Text Indent Char"/>
    <w:basedOn w:val="DefaultParagraphFont"/>
    <w:link w:val="BodyTextIndent"/>
    <w:rPr>
      <w:b/>
      <w:sz w:val="22"/>
      <w:lang w:eastAsia="en-US"/>
    </w:rPr>
  </w:style>
  <w:style w:type="character" w:customStyle="1" w:styleId="BodyTextFirstIndent2Char">
    <w:name w:val="Body Text First Indent 2 Char"/>
    <w:basedOn w:val="BodyTextIndentChar"/>
    <w:link w:val="BodyTextFirstIndent2"/>
    <w:rPr>
      <w:b w:val="0"/>
      <w:sz w:val="22"/>
      <w:lang w:eastAsia="en-US"/>
    </w:rPr>
  </w:style>
  <w:style w:type="paragraph" w:styleId="Caption">
    <w:name w:val="caption"/>
    <w:basedOn w:val="Normal"/>
    <w:next w:val="Normal"/>
    <w:semiHidden/>
    <w:unhideWhenUsed/>
    <w:qFormat/>
    <w:pPr>
      <w:spacing w:after="200" w:line="240" w:lineRule="auto"/>
    </w:pPr>
    <w:rPr>
      <w:i/>
      <w:iCs/>
      <w:color w:val="44546A" w:themeColor="text2"/>
      <w:sz w:val="18"/>
      <w:szCs w:val="18"/>
    </w:rPr>
  </w:style>
  <w:style w:type="paragraph" w:styleId="Closing">
    <w:name w:val="Closing"/>
    <w:basedOn w:val="Normal"/>
    <w:link w:val="ClosingChar"/>
    <w:pPr>
      <w:spacing w:line="240" w:lineRule="auto"/>
      <w:ind w:left="4252"/>
    </w:pPr>
  </w:style>
  <w:style w:type="character" w:customStyle="1" w:styleId="ClosingChar">
    <w:name w:val="Closing Char"/>
    <w:basedOn w:val="DefaultParagraphFont"/>
    <w:link w:val="Closing"/>
    <w:rPr>
      <w:sz w:val="22"/>
      <w:lang w:eastAsia="en-US"/>
    </w:rPr>
  </w:style>
  <w:style w:type="paragraph" w:styleId="Date">
    <w:name w:val="Date"/>
    <w:basedOn w:val="Normal"/>
    <w:next w:val="Normal"/>
    <w:link w:val="DateChar"/>
  </w:style>
  <w:style w:type="character" w:customStyle="1" w:styleId="DateChar">
    <w:name w:val="Date Char"/>
    <w:basedOn w:val="DefaultParagraphFont"/>
    <w:link w:val="Date"/>
    <w:rPr>
      <w:sz w:val="22"/>
      <w:lang w:eastAsia="en-US"/>
    </w:rPr>
  </w:style>
  <w:style w:type="paragraph" w:styleId="DocumentMap">
    <w:name w:val="Document Map"/>
    <w:basedOn w:val="Normal"/>
    <w:link w:val="DocumentMapChar"/>
    <w:pPr>
      <w:spacing w:line="240" w:lineRule="auto"/>
    </w:pPr>
    <w:rPr>
      <w:rFonts w:ascii="Segoe UI" w:hAnsi="Segoe UI" w:cs="Segoe UI"/>
      <w:sz w:val="16"/>
      <w:szCs w:val="16"/>
    </w:rPr>
  </w:style>
  <w:style w:type="character" w:customStyle="1" w:styleId="DocumentMapChar">
    <w:name w:val="Document Map Char"/>
    <w:basedOn w:val="DefaultParagraphFont"/>
    <w:link w:val="DocumentMap"/>
    <w:rPr>
      <w:rFonts w:ascii="Segoe UI" w:hAnsi="Segoe UI" w:cs="Segoe UI"/>
      <w:sz w:val="16"/>
      <w:szCs w:val="16"/>
      <w:lang w:eastAsia="en-US"/>
    </w:rPr>
  </w:style>
  <w:style w:type="paragraph" w:styleId="E-mailSignature">
    <w:name w:val="E-mail Signature"/>
    <w:basedOn w:val="Normal"/>
    <w:link w:val="E-mailSignatureChar"/>
    <w:pPr>
      <w:spacing w:line="240" w:lineRule="auto"/>
    </w:pPr>
  </w:style>
  <w:style w:type="character" w:customStyle="1" w:styleId="E-mailSignatureChar">
    <w:name w:val="E-mail Signature Char"/>
    <w:basedOn w:val="DefaultParagraphFont"/>
    <w:link w:val="E-mailSignature"/>
    <w:rPr>
      <w:sz w:val="22"/>
      <w:lang w:eastAsia="en-US"/>
    </w:rPr>
  </w:style>
  <w:style w:type="paragraph" w:styleId="EnvelopeAddress">
    <w:name w:val="envelope address"/>
    <w:basedOn w:val="Normal"/>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pPr>
      <w:spacing w:line="240" w:lineRule="auto"/>
    </w:pPr>
    <w:rPr>
      <w:rFonts w:asciiTheme="majorHAnsi" w:eastAsiaTheme="majorEastAsia" w:hAnsiTheme="majorHAnsi" w:cstheme="majorBidi"/>
      <w:sz w:val="20"/>
    </w:rPr>
  </w:style>
  <w:style w:type="paragraph" w:styleId="HTMLAddress">
    <w:name w:val="HTML Address"/>
    <w:basedOn w:val="Normal"/>
    <w:link w:val="HTMLAddressChar"/>
    <w:pPr>
      <w:spacing w:line="240" w:lineRule="auto"/>
    </w:pPr>
    <w:rPr>
      <w:i/>
      <w:iCs/>
    </w:rPr>
  </w:style>
  <w:style w:type="character" w:customStyle="1" w:styleId="HTMLAddressChar">
    <w:name w:val="HTML Address Char"/>
    <w:basedOn w:val="DefaultParagraphFont"/>
    <w:link w:val="HTMLAddress"/>
    <w:rPr>
      <w:i/>
      <w:iCs/>
      <w:sz w:val="22"/>
      <w:lang w:eastAsia="en-US"/>
    </w:rPr>
  </w:style>
  <w:style w:type="paragraph" w:styleId="HTMLPreformatted">
    <w:name w:val="HTML Preformatted"/>
    <w:basedOn w:val="Normal"/>
    <w:link w:val="HTMLPreformattedChar"/>
    <w:uiPriority w:val="99"/>
    <w:pPr>
      <w:spacing w:line="240" w:lineRule="auto"/>
    </w:pPr>
    <w:rPr>
      <w:rFonts w:ascii="Consolas" w:hAnsi="Consolas"/>
      <w:sz w:val="20"/>
    </w:rPr>
  </w:style>
  <w:style w:type="character" w:customStyle="1" w:styleId="HTMLPreformattedChar">
    <w:name w:val="HTML Preformatted Char"/>
    <w:basedOn w:val="DefaultParagraphFont"/>
    <w:link w:val="HTMLPreformatted"/>
    <w:uiPriority w:val="99"/>
    <w:rPr>
      <w:rFonts w:ascii="Consolas" w:hAnsi="Consolas"/>
      <w:lang w:eastAsia="en-US"/>
    </w:rPr>
  </w:style>
  <w:style w:type="paragraph" w:styleId="Index1">
    <w:name w:val="index 1"/>
    <w:basedOn w:val="Normal"/>
    <w:next w:val="Normal"/>
    <w:autoRedefine/>
    <w:pPr>
      <w:tabs>
        <w:tab w:val="clear" w:pos="567"/>
      </w:tabs>
      <w:spacing w:line="240" w:lineRule="auto"/>
      <w:ind w:left="220" w:hanging="220"/>
    </w:pPr>
  </w:style>
  <w:style w:type="paragraph" w:styleId="Index2">
    <w:name w:val="index 2"/>
    <w:basedOn w:val="Normal"/>
    <w:next w:val="Normal"/>
    <w:autoRedefine/>
    <w:pPr>
      <w:tabs>
        <w:tab w:val="clear" w:pos="567"/>
      </w:tabs>
      <w:spacing w:line="240" w:lineRule="auto"/>
      <w:ind w:left="440" w:hanging="220"/>
    </w:pPr>
  </w:style>
  <w:style w:type="paragraph" w:styleId="Index3">
    <w:name w:val="index 3"/>
    <w:basedOn w:val="Normal"/>
    <w:next w:val="Normal"/>
    <w:autoRedefine/>
    <w:pPr>
      <w:tabs>
        <w:tab w:val="clear" w:pos="567"/>
      </w:tabs>
      <w:spacing w:line="240" w:lineRule="auto"/>
      <w:ind w:left="660" w:hanging="220"/>
    </w:pPr>
  </w:style>
  <w:style w:type="paragraph" w:styleId="Index4">
    <w:name w:val="index 4"/>
    <w:basedOn w:val="Normal"/>
    <w:next w:val="Normal"/>
    <w:autoRedefine/>
    <w:pPr>
      <w:tabs>
        <w:tab w:val="clear" w:pos="567"/>
      </w:tabs>
      <w:spacing w:line="240" w:lineRule="auto"/>
      <w:ind w:left="880" w:hanging="220"/>
    </w:pPr>
  </w:style>
  <w:style w:type="paragraph" w:styleId="Index5">
    <w:name w:val="index 5"/>
    <w:basedOn w:val="Normal"/>
    <w:next w:val="Normal"/>
    <w:autoRedefine/>
    <w:pPr>
      <w:tabs>
        <w:tab w:val="clear" w:pos="567"/>
      </w:tabs>
      <w:spacing w:line="240" w:lineRule="auto"/>
      <w:ind w:left="1100" w:hanging="220"/>
    </w:pPr>
  </w:style>
  <w:style w:type="paragraph" w:styleId="Index6">
    <w:name w:val="index 6"/>
    <w:basedOn w:val="Normal"/>
    <w:next w:val="Normal"/>
    <w:autoRedefine/>
    <w:pPr>
      <w:tabs>
        <w:tab w:val="clear" w:pos="567"/>
      </w:tabs>
      <w:spacing w:line="240" w:lineRule="auto"/>
      <w:ind w:left="1320" w:hanging="220"/>
    </w:pPr>
  </w:style>
  <w:style w:type="paragraph" w:styleId="Index7">
    <w:name w:val="index 7"/>
    <w:basedOn w:val="Normal"/>
    <w:next w:val="Normal"/>
    <w:autoRedefine/>
    <w:pPr>
      <w:tabs>
        <w:tab w:val="clear" w:pos="567"/>
      </w:tabs>
      <w:spacing w:line="240" w:lineRule="auto"/>
      <w:ind w:left="1540" w:hanging="220"/>
    </w:pPr>
  </w:style>
  <w:style w:type="paragraph" w:styleId="Index8">
    <w:name w:val="index 8"/>
    <w:basedOn w:val="Normal"/>
    <w:next w:val="Normal"/>
    <w:autoRedefine/>
    <w:pPr>
      <w:tabs>
        <w:tab w:val="clear" w:pos="567"/>
      </w:tabs>
      <w:spacing w:line="240" w:lineRule="auto"/>
      <w:ind w:left="1760" w:hanging="220"/>
    </w:pPr>
  </w:style>
  <w:style w:type="paragraph" w:styleId="Index9">
    <w:name w:val="index 9"/>
    <w:basedOn w:val="Normal"/>
    <w:next w:val="Normal"/>
    <w:autoRedefine/>
    <w:pPr>
      <w:tabs>
        <w:tab w:val="clear" w:pos="567"/>
      </w:tabs>
      <w:spacing w:line="240" w:lineRule="auto"/>
      <w:ind w:left="1980" w:hanging="220"/>
    </w:pPr>
  </w:style>
  <w:style w:type="paragraph" w:styleId="IndexHeading">
    <w:name w:val="index heading"/>
    <w:basedOn w:val="Normal"/>
    <w:next w:val="Index1"/>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Pr>
      <w:i/>
      <w:iCs/>
      <w:color w:val="4472C4" w:themeColor="accent1"/>
      <w:sz w:val="22"/>
      <w:lang w:eastAsia="en-US"/>
    </w:rPr>
  </w:style>
  <w:style w:type="paragraph" w:styleId="List">
    <w:name w:val="List"/>
    <w:basedOn w:val="Normal"/>
    <w:pPr>
      <w:ind w:left="283" w:hanging="283"/>
      <w:contextualSpacing/>
    </w:pPr>
  </w:style>
  <w:style w:type="paragraph" w:styleId="List2">
    <w:name w:val="List 2"/>
    <w:basedOn w:val="Normal"/>
    <w:pPr>
      <w:ind w:left="566" w:hanging="283"/>
      <w:contextualSpacing/>
    </w:pPr>
  </w:style>
  <w:style w:type="paragraph" w:styleId="List3">
    <w:name w:val="List 3"/>
    <w:basedOn w:val="Normal"/>
    <w:pPr>
      <w:ind w:left="849" w:hanging="283"/>
      <w:contextualSpacing/>
    </w:pPr>
  </w:style>
  <w:style w:type="paragraph" w:styleId="List4">
    <w:name w:val="List 4"/>
    <w:basedOn w:val="Normal"/>
    <w:pPr>
      <w:ind w:left="1132" w:hanging="283"/>
      <w:contextualSpacing/>
    </w:pPr>
  </w:style>
  <w:style w:type="paragraph" w:styleId="List5">
    <w:name w:val="List 5"/>
    <w:basedOn w:val="Normal"/>
    <w:pPr>
      <w:ind w:left="1415" w:hanging="283"/>
      <w:contextualSpacing/>
    </w:pPr>
  </w:style>
  <w:style w:type="paragraph" w:styleId="ListBullet">
    <w:name w:val="List Bullet"/>
    <w:basedOn w:val="Normal"/>
    <w:pPr>
      <w:numPr>
        <w:numId w:val="4"/>
      </w:numPr>
      <w:contextualSpacing/>
    </w:pPr>
  </w:style>
  <w:style w:type="paragraph" w:styleId="ListBullet2">
    <w:name w:val="List Bullet 2"/>
    <w:basedOn w:val="Normal"/>
    <w:pPr>
      <w:numPr>
        <w:numId w:val="5"/>
      </w:numPr>
      <w:contextualSpacing/>
    </w:pPr>
  </w:style>
  <w:style w:type="paragraph" w:styleId="ListBullet3">
    <w:name w:val="List Bullet 3"/>
    <w:basedOn w:val="Normal"/>
    <w:pPr>
      <w:numPr>
        <w:numId w:val="6"/>
      </w:numPr>
      <w:contextualSpacing/>
    </w:pPr>
  </w:style>
  <w:style w:type="paragraph" w:styleId="ListBullet4">
    <w:name w:val="List Bullet 4"/>
    <w:basedOn w:val="Normal"/>
    <w:pPr>
      <w:numPr>
        <w:numId w:val="7"/>
      </w:numPr>
      <w:contextualSpacing/>
    </w:pPr>
  </w:style>
  <w:style w:type="paragraph" w:styleId="ListBullet5">
    <w:name w:val="List Bullet 5"/>
    <w:basedOn w:val="Normal"/>
    <w:pPr>
      <w:numPr>
        <w:numId w:val="8"/>
      </w:numPr>
      <w:contextualSpacing/>
    </w:pPr>
  </w:style>
  <w:style w:type="paragraph" w:styleId="ListContinue">
    <w:name w:val="List Continue"/>
    <w:basedOn w:val="Normal"/>
    <w:pPr>
      <w:spacing w:after="120"/>
      <w:ind w:left="283"/>
      <w:contextualSpacing/>
    </w:pPr>
  </w:style>
  <w:style w:type="paragraph" w:styleId="ListContinue2">
    <w:name w:val="List Continue 2"/>
    <w:basedOn w:val="Normal"/>
    <w:pPr>
      <w:spacing w:after="120"/>
      <w:ind w:left="566"/>
      <w:contextualSpacing/>
    </w:pPr>
  </w:style>
  <w:style w:type="paragraph" w:styleId="ListContinue3">
    <w:name w:val="List Continue 3"/>
    <w:basedOn w:val="Normal"/>
    <w:pPr>
      <w:spacing w:after="120"/>
      <w:ind w:left="849"/>
      <w:contextualSpacing/>
    </w:pPr>
  </w:style>
  <w:style w:type="paragraph" w:styleId="ListContinue4">
    <w:name w:val="List Continue 4"/>
    <w:basedOn w:val="Normal"/>
    <w:pPr>
      <w:spacing w:after="120"/>
      <w:ind w:left="1132"/>
      <w:contextualSpacing/>
    </w:pPr>
  </w:style>
  <w:style w:type="paragraph" w:styleId="ListContinue5">
    <w:name w:val="List Continue 5"/>
    <w:basedOn w:val="Normal"/>
    <w:pPr>
      <w:spacing w:after="120"/>
      <w:ind w:left="1415"/>
      <w:contextualSpacing/>
    </w:pPr>
  </w:style>
  <w:style w:type="paragraph" w:styleId="ListNumber">
    <w:name w:val="List Number"/>
    <w:basedOn w:val="Normal"/>
    <w:pPr>
      <w:numPr>
        <w:numId w:val="9"/>
      </w:numPr>
      <w:contextualSpacing/>
    </w:pPr>
  </w:style>
  <w:style w:type="paragraph" w:styleId="ListNumber2">
    <w:name w:val="List Number 2"/>
    <w:basedOn w:val="Normal"/>
    <w:pPr>
      <w:numPr>
        <w:numId w:val="10"/>
      </w:numPr>
      <w:contextualSpacing/>
    </w:pPr>
  </w:style>
  <w:style w:type="paragraph" w:styleId="ListNumber3">
    <w:name w:val="List Number 3"/>
    <w:basedOn w:val="Normal"/>
    <w:pPr>
      <w:numPr>
        <w:numId w:val="11"/>
      </w:numPr>
      <w:contextualSpacing/>
    </w:pPr>
  </w:style>
  <w:style w:type="paragraph" w:styleId="ListNumber4">
    <w:name w:val="List Number 4"/>
    <w:basedOn w:val="Normal"/>
    <w:pPr>
      <w:numPr>
        <w:numId w:val="12"/>
      </w:numPr>
      <w:contextualSpacing/>
    </w:pPr>
  </w:style>
  <w:style w:type="paragraph" w:styleId="ListNumber5">
    <w:name w:val="List Number 5"/>
    <w:basedOn w:val="Normal"/>
    <w:pPr>
      <w:numPr>
        <w:numId w:val="13"/>
      </w:numPr>
      <w:contextualSpacing/>
    </w:pPr>
  </w:style>
  <w:style w:type="paragraph" w:styleId="ListParagraph">
    <w:name w:val="List Paragraph"/>
    <w:basedOn w:val="Normal"/>
    <w:uiPriority w:val="34"/>
    <w:qFormat/>
    <w:pPr>
      <w:ind w:left="720"/>
      <w:contextualSpacing/>
    </w:p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pacing w:line="260" w:lineRule="exact"/>
    </w:pPr>
    <w:rPr>
      <w:rFonts w:ascii="Consolas" w:hAnsi="Consolas"/>
      <w:lang w:eastAsia="en-US"/>
    </w:rPr>
  </w:style>
  <w:style w:type="character" w:customStyle="1" w:styleId="MacroTextChar">
    <w:name w:val="Macro Text Char"/>
    <w:basedOn w:val="DefaultParagraphFont"/>
    <w:link w:val="MacroText"/>
    <w:rPr>
      <w:rFonts w:ascii="Consolas" w:hAnsi="Consolas"/>
      <w:lang w:eastAsia="en-US"/>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rPr>
      <w:rFonts w:asciiTheme="majorHAnsi" w:eastAsiaTheme="majorEastAsia" w:hAnsiTheme="majorHAnsi" w:cstheme="majorBidi"/>
      <w:sz w:val="24"/>
      <w:szCs w:val="24"/>
      <w:shd w:val="pct20" w:color="auto" w:fill="auto"/>
      <w:lang w:eastAsia="en-US"/>
    </w:rPr>
  </w:style>
  <w:style w:type="paragraph" w:styleId="NoSpacing">
    <w:name w:val="No Spacing"/>
    <w:uiPriority w:val="1"/>
    <w:qFormat/>
    <w:pPr>
      <w:tabs>
        <w:tab w:val="left" w:pos="567"/>
      </w:tabs>
    </w:pPr>
    <w:rPr>
      <w:sz w:val="22"/>
      <w:lang w:eastAsia="en-US"/>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link w:val="NoteHeadingChar"/>
    <w:pPr>
      <w:spacing w:line="240" w:lineRule="auto"/>
    </w:pPr>
  </w:style>
  <w:style w:type="character" w:customStyle="1" w:styleId="NoteHeadingChar">
    <w:name w:val="Note Heading Char"/>
    <w:basedOn w:val="DefaultParagraphFont"/>
    <w:link w:val="NoteHeading"/>
    <w:rPr>
      <w:sz w:val="22"/>
      <w:lang w:eastAsia="en-US"/>
    </w:rPr>
  </w:style>
  <w:style w:type="paragraph" w:styleId="PlainText">
    <w:name w:val="Plain Text"/>
    <w:basedOn w:val="Normal"/>
    <w:link w:val="PlainTextChar"/>
    <w:pPr>
      <w:spacing w:line="240" w:lineRule="auto"/>
    </w:pPr>
    <w:rPr>
      <w:rFonts w:ascii="Consolas" w:hAnsi="Consolas"/>
      <w:sz w:val="21"/>
      <w:szCs w:val="21"/>
    </w:rPr>
  </w:style>
  <w:style w:type="character" w:customStyle="1" w:styleId="PlainTextChar">
    <w:name w:val="Plain Text Char"/>
    <w:basedOn w:val="DefaultParagraphFont"/>
    <w:link w:val="PlainText"/>
    <w:rPr>
      <w:rFonts w:ascii="Consolas" w:hAnsi="Consolas"/>
      <w:sz w:val="21"/>
      <w:szCs w:val="21"/>
      <w:lang w:eastAsia="en-US"/>
    </w:rPr>
  </w:style>
  <w:style w:type="paragraph" w:styleId="Quote">
    <w:name w:val="Quote"/>
    <w:basedOn w:val="Normal"/>
    <w:next w:val="Normal"/>
    <w:link w:val="QuoteChar"/>
    <w:uiPriority w:val="29"/>
    <w:qFormat/>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sz w:val="22"/>
      <w:lang w:eastAsia="en-US"/>
    </w:rPr>
  </w:style>
  <w:style w:type="paragraph" w:styleId="Salutation">
    <w:name w:val="Salutation"/>
    <w:basedOn w:val="Normal"/>
    <w:next w:val="Normal"/>
    <w:link w:val="SalutationChar"/>
  </w:style>
  <w:style w:type="character" w:customStyle="1" w:styleId="SalutationChar">
    <w:name w:val="Salutation Char"/>
    <w:basedOn w:val="DefaultParagraphFont"/>
    <w:link w:val="Salutation"/>
    <w:rPr>
      <w:sz w:val="22"/>
      <w:lang w:eastAsia="en-US"/>
    </w:rPr>
  </w:style>
  <w:style w:type="paragraph" w:styleId="Signature">
    <w:name w:val="Signature"/>
    <w:basedOn w:val="Normal"/>
    <w:link w:val="SignatureChar"/>
    <w:pPr>
      <w:spacing w:line="240" w:lineRule="auto"/>
      <w:ind w:left="4252"/>
    </w:pPr>
  </w:style>
  <w:style w:type="character" w:customStyle="1" w:styleId="SignatureChar">
    <w:name w:val="Signature Char"/>
    <w:basedOn w:val="DefaultParagraphFont"/>
    <w:link w:val="Signature"/>
    <w:rPr>
      <w:sz w:val="22"/>
      <w:lang w:eastAsia="en-US"/>
    </w:rPr>
  </w:style>
  <w:style w:type="paragraph" w:styleId="Subtitle">
    <w:name w:val="Subtitle"/>
    <w:basedOn w:val="Normal"/>
    <w:next w:val="Normal"/>
    <w:link w:val="SubtitleChar"/>
    <w:qFormat/>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rPr>
      <w:rFonts w:asciiTheme="minorHAnsi" w:eastAsiaTheme="minorEastAsia" w:hAnsiTheme="minorHAnsi" w:cstheme="minorBidi"/>
      <w:color w:val="5A5A5A" w:themeColor="text1" w:themeTint="A5"/>
      <w:spacing w:val="15"/>
      <w:sz w:val="22"/>
      <w:szCs w:val="22"/>
      <w:lang w:eastAsia="en-US"/>
    </w:rPr>
  </w:style>
  <w:style w:type="paragraph" w:styleId="TableofAuthorities">
    <w:name w:val="table of authorities"/>
    <w:basedOn w:val="Normal"/>
    <w:next w:val="Normal"/>
    <w:pPr>
      <w:tabs>
        <w:tab w:val="clear" w:pos="567"/>
      </w:tabs>
      <w:ind w:left="220" w:hanging="220"/>
    </w:pPr>
  </w:style>
  <w:style w:type="paragraph" w:styleId="TableofFigures">
    <w:name w:val="table of figures"/>
    <w:basedOn w:val="Normal"/>
    <w:next w:val="Normal"/>
    <w:pPr>
      <w:tabs>
        <w:tab w:val="clear" w:pos="567"/>
      </w:tabs>
    </w:pPr>
  </w:style>
  <w:style w:type="paragraph" w:styleId="Title">
    <w:name w:val="Title"/>
    <w:basedOn w:val="Normal"/>
    <w:next w:val="Normal"/>
    <w:link w:val="TitleChar"/>
    <w:qFormat/>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Pr>
      <w:rFonts w:asciiTheme="majorHAnsi" w:eastAsiaTheme="majorEastAsia" w:hAnsiTheme="majorHAnsi" w:cstheme="majorBidi"/>
      <w:spacing w:val="-10"/>
      <w:kern w:val="28"/>
      <w:sz w:val="56"/>
      <w:szCs w:val="56"/>
      <w:lang w:eastAsia="en-US"/>
    </w:rPr>
  </w:style>
  <w:style w:type="paragraph" w:styleId="TOAHeading">
    <w:name w:val="toa heading"/>
    <w:basedOn w:val="Normal"/>
    <w:next w:val="Normal"/>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pPr>
      <w:tabs>
        <w:tab w:val="clear" w:pos="567"/>
      </w:tabs>
      <w:spacing w:after="100"/>
    </w:pPr>
  </w:style>
  <w:style w:type="paragraph" w:styleId="TOC2">
    <w:name w:val="toc 2"/>
    <w:basedOn w:val="Normal"/>
    <w:next w:val="Normal"/>
    <w:autoRedefine/>
    <w:pPr>
      <w:tabs>
        <w:tab w:val="clear" w:pos="567"/>
      </w:tabs>
      <w:spacing w:after="100"/>
      <w:ind w:left="220"/>
    </w:pPr>
  </w:style>
  <w:style w:type="paragraph" w:styleId="TOC3">
    <w:name w:val="toc 3"/>
    <w:basedOn w:val="Normal"/>
    <w:next w:val="Normal"/>
    <w:autoRedefine/>
    <w:pPr>
      <w:tabs>
        <w:tab w:val="clear" w:pos="567"/>
      </w:tabs>
      <w:spacing w:after="100"/>
      <w:ind w:left="440"/>
    </w:pPr>
  </w:style>
  <w:style w:type="paragraph" w:styleId="TOC4">
    <w:name w:val="toc 4"/>
    <w:basedOn w:val="Normal"/>
    <w:next w:val="Normal"/>
    <w:autoRedefine/>
    <w:pPr>
      <w:tabs>
        <w:tab w:val="clear" w:pos="567"/>
      </w:tabs>
      <w:spacing w:after="100"/>
      <w:ind w:left="660"/>
    </w:pPr>
  </w:style>
  <w:style w:type="paragraph" w:styleId="TOC5">
    <w:name w:val="toc 5"/>
    <w:basedOn w:val="Normal"/>
    <w:next w:val="Normal"/>
    <w:autoRedefine/>
    <w:pPr>
      <w:tabs>
        <w:tab w:val="clear" w:pos="567"/>
      </w:tabs>
      <w:spacing w:after="100"/>
      <w:ind w:left="880"/>
    </w:pPr>
  </w:style>
  <w:style w:type="paragraph" w:styleId="TOC6">
    <w:name w:val="toc 6"/>
    <w:basedOn w:val="Normal"/>
    <w:next w:val="Normal"/>
    <w:autoRedefine/>
    <w:pPr>
      <w:tabs>
        <w:tab w:val="clear" w:pos="567"/>
      </w:tabs>
      <w:spacing w:after="100"/>
      <w:ind w:left="1100"/>
    </w:pPr>
  </w:style>
  <w:style w:type="paragraph" w:styleId="TOC7">
    <w:name w:val="toc 7"/>
    <w:basedOn w:val="Normal"/>
    <w:next w:val="Normal"/>
    <w:autoRedefine/>
    <w:pPr>
      <w:tabs>
        <w:tab w:val="clear" w:pos="567"/>
      </w:tabs>
      <w:spacing w:after="100"/>
      <w:ind w:left="1320"/>
    </w:pPr>
  </w:style>
  <w:style w:type="paragraph" w:styleId="TOC8">
    <w:name w:val="toc 8"/>
    <w:basedOn w:val="Normal"/>
    <w:next w:val="Normal"/>
    <w:autoRedefine/>
    <w:pPr>
      <w:tabs>
        <w:tab w:val="clear" w:pos="567"/>
      </w:tabs>
      <w:spacing w:after="100"/>
      <w:ind w:left="1540"/>
    </w:pPr>
  </w:style>
  <w:style w:type="paragraph" w:styleId="TOCHeading">
    <w:name w:val="TOC Heading"/>
    <w:basedOn w:val="Heading1"/>
    <w:next w:val="Normal"/>
    <w:uiPriority w:val="39"/>
    <w:semiHidden/>
    <w:unhideWhenUsed/>
    <w:qFormat/>
    <w:pPr>
      <w:keepNext/>
      <w:keepLines/>
      <w:spacing w:after="0"/>
      <w:ind w:left="0" w:firstLine="0"/>
      <w:outlineLvl w:val="9"/>
    </w:pPr>
    <w:rPr>
      <w:rFonts w:asciiTheme="majorHAnsi" w:eastAsiaTheme="majorEastAsia" w:hAnsiTheme="majorHAnsi" w:cstheme="majorBidi"/>
      <w:b w:val="0"/>
      <w:caps w:val="0"/>
      <w:color w:val="2F5496" w:themeColor="accent1" w:themeShade="BF"/>
      <w:sz w:val="32"/>
      <w:szCs w:val="32"/>
    </w:rPr>
  </w:style>
  <w:style w:type="character" w:customStyle="1" w:styleId="y2iqfc">
    <w:name w:val="y2iqfc"/>
    <w:basedOn w:val="DefaultParagraphFont"/>
    <w:rsid w:val="00E32B95"/>
  </w:style>
  <w:style w:type="character" w:styleId="UnresolvedMention">
    <w:name w:val="Unresolved Mention"/>
    <w:basedOn w:val="DefaultParagraphFont"/>
    <w:uiPriority w:val="99"/>
    <w:semiHidden/>
    <w:unhideWhenUsed/>
    <w:rsid w:val="00FB1D2D"/>
    <w:rPr>
      <w:color w:val="605E5C"/>
      <w:shd w:val="clear" w:color="auto" w:fill="E1DFDD"/>
    </w:rPr>
  </w:style>
  <w:style w:type="character" w:customStyle="1" w:styleId="CommentSubjectChar">
    <w:name w:val="Comment Subject Char"/>
    <w:basedOn w:val="CommentTextChar"/>
    <w:link w:val="CommentSubject"/>
    <w:uiPriority w:val="99"/>
    <w:semiHidden/>
    <w:rsid w:val="0025586F"/>
    <w:rPr>
      <w:b/>
      <w:bCs/>
      <w:lang w:val="lv-LV"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514185">
      <w:bodyDiv w:val="1"/>
      <w:marLeft w:val="0"/>
      <w:marRight w:val="0"/>
      <w:marTop w:val="0"/>
      <w:marBottom w:val="0"/>
      <w:divBdr>
        <w:top w:val="none" w:sz="0" w:space="0" w:color="auto"/>
        <w:left w:val="none" w:sz="0" w:space="0" w:color="auto"/>
        <w:bottom w:val="none" w:sz="0" w:space="0" w:color="auto"/>
        <w:right w:val="none" w:sz="0" w:space="0" w:color="auto"/>
      </w:divBdr>
    </w:div>
    <w:div w:id="828906295">
      <w:bodyDiv w:val="1"/>
      <w:marLeft w:val="0"/>
      <w:marRight w:val="0"/>
      <w:marTop w:val="0"/>
      <w:marBottom w:val="0"/>
      <w:divBdr>
        <w:top w:val="none" w:sz="0" w:space="0" w:color="auto"/>
        <w:left w:val="none" w:sz="0" w:space="0" w:color="auto"/>
        <w:bottom w:val="none" w:sz="0" w:space="0" w:color="auto"/>
        <w:right w:val="none" w:sz="0" w:space="0" w:color="auto"/>
      </w:divBdr>
    </w:div>
    <w:div w:id="854810156">
      <w:bodyDiv w:val="1"/>
      <w:marLeft w:val="0"/>
      <w:marRight w:val="0"/>
      <w:marTop w:val="0"/>
      <w:marBottom w:val="0"/>
      <w:divBdr>
        <w:top w:val="none" w:sz="0" w:space="0" w:color="auto"/>
        <w:left w:val="none" w:sz="0" w:space="0" w:color="auto"/>
        <w:bottom w:val="none" w:sz="0" w:space="0" w:color="auto"/>
        <w:right w:val="none" w:sz="0" w:space="0" w:color="auto"/>
      </w:divBdr>
    </w:div>
    <w:div w:id="913704408">
      <w:bodyDiv w:val="1"/>
      <w:marLeft w:val="0"/>
      <w:marRight w:val="0"/>
      <w:marTop w:val="0"/>
      <w:marBottom w:val="0"/>
      <w:divBdr>
        <w:top w:val="none" w:sz="0" w:space="0" w:color="auto"/>
        <w:left w:val="none" w:sz="0" w:space="0" w:color="auto"/>
        <w:bottom w:val="none" w:sz="0" w:space="0" w:color="auto"/>
        <w:right w:val="none" w:sz="0" w:space="0" w:color="auto"/>
      </w:divBdr>
    </w:div>
    <w:div w:id="1100560856">
      <w:bodyDiv w:val="1"/>
      <w:marLeft w:val="0"/>
      <w:marRight w:val="0"/>
      <w:marTop w:val="0"/>
      <w:marBottom w:val="0"/>
      <w:divBdr>
        <w:top w:val="none" w:sz="0" w:space="0" w:color="auto"/>
        <w:left w:val="none" w:sz="0" w:space="0" w:color="auto"/>
        <w:bottom w:val="none" w:sz="0" w:space="0" w:color="auto"/>
        <w:right w:val="none" w:sz="0" w:space="0" w:color="auto"/>
      </w:divBdr>
    </w:div>
    <w:div w:id="1544635613">
      <w:bodyDiv w:val="1"/>
      <w:marLeft w:val="0"/>
      <w:marRight w:val="0"/>
      <w:marTop w:val="0"/>
      <w:marBottom w:val="0"/>
      <w:divBdr>
        <w:top w:val="none" w:sz="0" w:space="0" w:color="auto"/>
        <w:left w:val="none" w:sz="0" w:space="0" w:color="auto"/>
        <w:bottom w:val="none" w:sz="0" w:space="0" w:color="auto"/>
        <w:right w:val="none" w:sz="0" w:space="0" w:color="auto"/>
      </w:divBdr>
      <w:divsChild>
        <w:div w:id="701054594">
          <w:marLeft w:val="0"/>
          <w:marRight w:val="0"/>
          <w:marTop w:val="0"/>
          <w:marBottom w:val="0"/>
          <w:divBdr>
            <w:top w:val="none" w:sz="0" w:space="0" w:color="auto"/>
            <w:left w:val="none" w:sz="0" w:space="0" w:color="auto"/>
            <w:bottom w:val="none" w:sz="0" w:space="0" w:color="auto"/>
            <w:right w:val="none" w:sz="0" w:space="0" w:color="auto"/>
          </w:divBdr>
        </w:div>
        <w:div w:id="47076464">
          <w:marLeft w:val="0"/>
          <w:marRight w:val="0"/>
          <w:marTop w:val="0"/>
          <w:marBottom w:val="0"/>
          <w:divBdr>
            <w:top w:val="none" w:sz="0" w:space="0" w:color="auto"/>
            <w:left w:val="none" w:sz="0" w:space="0" w:color="auto"/>
            <w:bottom w:val="none" w:sz="0" w:space="0" w:color="auto"/>
            <w:right w:val="none" w:sz="0" w:space="0" w:color="auto"/>
          </w:divBdr>
          <w:divsChild>
            <w:div w:id="1354113563">
              <w:marLeft w:val="0"/>
              <w:marRight w:val="165"/>
              <w:marTop w:val="150"/>
              <w:marBottom w:val="0"/>
              <w:divBdr>
                <w:top w:val="none" w:sz="0" w:space="0" w:color="auto"/>
                <w:left w:val="none" w:sz="0" w:space="0" w:color="auto"/>
                <w:bottom w:val="none" w:sz="0" w:space="0" w:color="auto"/>
                <w:right w:val="none" w:sz="0" w:space="0" w:color="auto"/>
              </w:divBdr>
              <w:divsChild>
                <w:div w:id="654147552">
                  <w:marLeft w:val="0"/>
                  <w:marRight w:val="0"/>
                  <w:marTop w:val="0"/>
                  <w:marBottom w:val="0"/>
                  <w:divBdr>
                    <w:top w:val="none" w:sz="0" w:space="0" w:color="auto"/>
                    <w:left w:val="none" w:sz="0" w:space="0" w:color="auto"/>
                    <w:bottom w:val="none" w:sz="0" w:space="0" w:color="auto"/>
                    <w:right w:val="none" w:sz="0" w:space="0" w:color="auto"/>
                  </w:divBdr>
                  <w:divsChild>
                    <w:div w:id="55987469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834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36137-C925-4461-8E36-58A3C9FB2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1136</Words>
  <Characters>7884</Characters>
  <DocSecurity>0</DocSecurity>
  <Lines>65</Lines>
  <Paragraphs>18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Vqrdtemplateclean_lv_corr 1</vt:lpstr>
      <vt:lpstr>QRD veterinary product-information (English) version 9</vt:lpstr>
    </vt:vector>
  </TitlesOfParts>
  <Company/>
  <LinksUpToDate>false</LinksUpToDate>
  <CharactersWithSpaces>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08/02/2022 10:35:34</vt:lpwstr>
  </property>
  <property fmtid="{D5CDD505-2E9C-101B-9397-08002B2CF9AE}" pid="6" name="DM_Creator_Name">
    <vt:lpwstr>Prizzi Monica</vt:lpwstr>
  </property>
  <property fmtid="{D5CDD505-2E9C-101B-9397-08002B2CF9AE}" pid="7" name="DM_DocRefId">
    <vt:lpwstr>EMA/560340/2021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EMA/560340/2021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08/02/2022 10:35:34</vt:lpwstr>
  </property>
  <property fmtid="{D5CDD505-2E9C-101B-9397-08002B2CF9AE}" pid="34" name="DM_Modifier_Name">
    <vt:lpwstr>Prizzi Monica</vt:lpwstr>
  </property>
  <property fmtid="{D5CDD505-2E9C-101B-9397-08002B2CF9AE}" pid="35" name="DM_Modify_Date">
    <vt:lpwstr>08/02/2022 10:35:34</vt:lpwstr>
  </property>
  <property fmtid="{D5CDD505-2E9C-101B-9397-08002B2CF9AE}" pid="36" name="DM_Name">
    <vt:lpwstr>Vqrdtemplateclean_lv_corr 1</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2020-2021/07 Clean templates (word) update/02 Tran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2022-02-08T12:37:38Z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85f880ff-6554-478a-9403-92768d9b65ba</vt:lpwstr>
  </property>
  <property fmtid="{D5CDD505-2E9C-101B-9397-08002B2CF9AE}" pid="72" name="MSIP_Label_0eea11ca-d417-4147-80ed-01a58412c458_ContentBits">
    <vt:lpwstr>2</vt:lpwstr>
  </property>
  <property fmtid="{D5CDD505-2E9C-101B-9397-08002B2CF9AE}" pid="73" name="MSIP_Label_0ce2e18c-5cc3-4bbe-910f-0e8243a09a3a_Enabled">
    <vt:lpwstr>true</vt:lpwstr>
  </property>
  <property fmtid="{D5CDD505-2E9C-101B-9397-08002B2CF9AE}" pid="74" name="MSIP_Label_0ce2e18c-5cc3-4bbe-910f-0e8243a09a3a_SetDate">
    <vt:lpwstr>2022-03-21T13:20:22Z</vt:lpwstr>
  </property>
  <property fmtid="{D5CDD505-2E9C-101B-9397-08002B2CF9AE}" pid="75" name="MSIP_Label_0ce2e18c-5cc3-4bbe-910f-0e8243a09a3a_Method">
    <vt:lpwstr>Privileged</vt:lpwstr>
  </property>
  <property fmtid="{D5CDD505-2E9C-101B-9397-08002B2CF9AE}" pid="76" name="MSIP_Label_0ce2e18c-5cc3-4bbe-910f-0e8243a09a3a_Name">
    <vt:lpwstr>Public</vt:lpwstr>
  </property>
  <property fmtid="{D5CDD505-2E9C-101B-9397-08002B2CF9AE}" pid="77" name="MSIP_Label_0ce2e18c-5cc3-4bbe-910f-0e8243a09a3a_SiteId">
    <vt:lpwstr>a10ba484-6331-40ee-b0ab-cb737ca60a80</vt:lpwstr>
  </property>
  <property fmtid="{D5CDD505-2E9C-101B-9397-08002B2CF9AE}" pid="78" name="MSIP_Label_0ce2e18c-5cc3-4bbe-910f-0e8243a09a3a_ActionId">
    <vt:lpwstr>4b654513-8dcb-427c-b40f-dc374e6f9942</vt:lpwstr>
  </property>
  <property fmtid="{D5CDD505-2E9C-101B-9397-08002B2CF9AE}" pid="79" name="MSIP_Label_0ce2e18c-5cc3-4bbe-910f-0e8243a09a3a_ContentBits">
    <vt:lpwstr>0</vt:lpwstr>
  </property>
</Properties>
</file>