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127" w:rsidRDefault="00856127" w:rsidP="00CF0492">
      <w:pPr>
        <w:spacing w:line="240" w:lineRule="auto"/>
        <w:jc w:val="center"/>
        <w:rPr>
          <w:b/>
          <w:szCs w:val="24"/>
          <w:lang w:val="lv-LV"/>
        </w:rPr>
      </w:pPr>
      <w:bookmarkStart w:id="0" w:name="_GoBack"/>
      <w:bookmarkEnd w:id="0"/>
    </w:p>
    <w:p w:rsidR="001C2A86" w:rsidRDefault="001C2A86" w:rsidP="00CF0492">
      <w:pPr>
        <w:spacing w:line="240" w:lineRule="auto"/>
        <w:jc w:val="center"/>
        <w:rPr>
          <w:b/>
          <w:szCs w:val="24"/>
          <w:lang w:val="lv-LV"/>
        </w:rPr>
      </w:pPr>
      <w:r>
        <w:rPr>
          <w:b/>
          <w:szCs w:val="24"/>
          <w:lang w:val="lv-LV"/>
        </w:rPr>
        <w:t>VETERINĀRO ZĀĻU APRAKSTS</w:t>
      </w:r>
    </w:p>
    <w:p w:rsidR="001C2A86" w:rsidRDefault="00483834" w:rsidP="00483834">
      <w:pPr>
        <w:spacing w:line="240" w:lineRule="auto"/>
        <w:jc w:val="center"/>
        <w:rPr>
          <w:b/>
          <w:szCs w:val="24"/>
          <w:lang w:val="lv-LV"/>
        </w:rPr>
      </w:pPr>
      <w:r w:rsidRPr="00483834">
        <w:rPr>
          <w:b/>
          <w:szCs w:val="24"/>
          <w:lang w:val="lv-LV"/>
        </w:rPr>
        <w:t>V/DCP/19/0030</w:t>
      </w:r>
    </w:p>
    <w:p w:rsidR="001C2A86" w:rsidRDefault="001C2A86">
      <w:pPr>
        <w:spacing w:line="240" w:lineRule="auto"/>
        <w:rPr>
          <w:b/>
          <w:szCs w:val="24"/>
          <w:lang w:val="lv-LV"/>
        </w:rPr>
      </w:pPr>
    </w:p>
    <w:p w:rsidR="001C2A86" w:rsidRDefault="001C2A86">
      <w:pPr>
        <w:spacing w:line="240" w:lineRule="auto"/>
        <w:rPr>
          <w:b/>
          <w:szCs w:val="24"/>
          <w:lang w:val="lv-LV"/>
        </w:rPr>
      </w:pPr>
    </w:p>
    <w:p w:rsidR="00473450" w:rsidRPr="00AB2C20" w:rsidRDefault="00473450">
      <w:pPr>
        <w:spacing w:line="240" w:lineRule="auto"/>
        <w:rPr>
          <w:szCs w:val="24"/>
          <w:lang w:val="lv-LV"/>
        </w:rPr>
      </w:pPr>
      <w:r w:rsidRPr="00AB2C20">
        <w:rPr>
          <w:b/>
          <w:szCs w:val="24"/>
          <w:lang w:val="lv-LV"/>
        </w:rPr>
        <w:t>1.</w:t>
      </w:r>
      <w:r w:rsidRPr="00AB2C20">
        <w:rPr>
          <w:b/>
          <w:szCs w:val="24"/>
          <w:lang w:val="lv-LV"/>
        </w:rPr>
        <w:tab/>
        <w:t>VETERINĀRO ZĀĻU NOSAUKUMS</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CF0492">
        <w:rPr>
          <w:b/>
          <w:szCs w:val="24"/>
          <w:lang w:val="lv-LV"/>
        </w:rPr>
        <w:t>Sympagesic</w:t>
      </w:r>
      <w:r w:rsidRPr="00AB2C20">
        <w:rPr>
          <w:szCs w:val="24"/>
          <w:lang w:val="lv-LV"/>
        </w:rPr>
        <w:t xml:space="preserve"> </w:t>
      </w:r>
      <w:r w:rsidRPr="00CF0492">
        <w:rPr>
          <w:b/>
          <w:szCs w:val="24"/>
          <w:lang w:val="lv-LV"/>
        </w:rPr>
        <w:t>500 mg/ml + 4 mg/ml</w:t>
      </w:r>
      <w:r w:rsidRPr="00AB2C20">
        <w:rPr>
          <w:szCs w:val="24"/>
          <w:lang w:val="lv-LV"/>
        </w:rPr>
        <w:t xml:space="preserve"> šķīdums injekcijām zirgiem, liellopiem, cūkām un suņiem</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p>
    <w:p w:rsidR="00473450" w:rsidRPr="00AB2C20" w:rsidRDefault="00473450">
      <w:pPr>
        <w:spacing w:line="240" w:lineRule="auto"/>
        <w:rPr>
          <w:szCs w:val="24"/>
          <w:lang w:val="lv-LV"/>
        </w:rPr>
      </w:pPr>
      <w:r w:rsidRPr="00AB2C20">
        <w:rPr>
          <w:b/>
          <w:szCs w:val="24"/>
          <w:lang w:val="lv-LV"/>
        </w:rPr>
        <w:t>2.</w:t>
      </w:r>
      <w:r w:rsidRPr="00AB2C20">
        <w:rPr>
          <w:b/>
          <w:szCs w:val="24"/>
          <w:lang w:val="lv-LV"/>
        </w:rPr>
        <w:tab/>
        <w:t>KVALITATĪVAIS UN KVANTITATĪVAIS SASTĀVS</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Viens ml satur:</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b/>
          <w:szCs w:val="24"/>
          <w:lang w:val="lv-LV"/>
        </w:rPr>
      </w:pPr>
      <w:r w:rsidRPr="00AB2C20">
        <w:rPr>
          <w:b/>
          <w:szCs w:val="24"/>
          <w:lang w:val="lv-LV"/>
        </w:rPr>
        <w:t>Aktīvās vielas:</w:t>
      </w:r>
    </w:p>
    <w:p w:rsidR="00473450" w:rsidRPr="00AB2C20" w:rsidRDefault="00473450">
      <w:pPr>
        <w:tabs>
          <w:tab w:val="clear" w:pos="567"/>
        </w:tabs>
        <w:spacing w:line="240" w:lineRule="auto"/>
        <w:rPr>
          <w:szCs w:val="24"/>
          <w:lang w:val="lv-LV"/>
        </w:rPr>
      </w:pPr>
      <w:r w:rsidRPr="00AB2C20">
        <w:rPr>
          <w:szCs w:val="24"/>
          <w:lang w:val="lv-LV"/>
        </w:rPr>
        <w:t>Metamizola nātrija</w:t>
      </w:r>
      <w:r w:rsidR="00654CDC">
        <w:rPr>
          <w:szCs w:val="24"/>
          <w:lang w:val="lv-LV"/>
        </w:rPr>
        <w:t xml:space="preserve"> sāls</w:t>
      </w:r>
      <w:r w:rsidRPr="00AB2C20">
        <w:rPr>
          <w:szCs w:val="24"/>
          <w:lang w:val="lv-LV"/>
        </w:rPr>
        <w:t xml:space="preserve"> monohidrāts</w:t>
      </w:r>
      <w:r w:rsidR="00AB2C20" w:rsidRPr="00AB2C20">
        <w:rPr>
          <w:szCs w:val="22"/>
        </w:rPr>
        <w:tab/>
      </w:r>
      <w:r w:rsidR="00AB2C20" w:rsidRPr="00AB2C20">
        <w:rPr>
          <w:szCs w:val="22"/>
        </w:rPr>
        <w:tab/>
      </w:r>
      <w:r w:rsidRPr="00AB2C20">
        <w:rPr>
          <w:szCs w:val="24"/>
          <w:lang w:val="lv-LV"/>
        </w:rPr>
        <w:t>500,0 mg</w:t>
      </w:r>
    </w:p>
    <w:p w:rsidR="00473450" w:rsidRPr="00AB2C20" w:rsidRDefault="00473450">
      <w:pPr>
        <w:tabs>
          <w:tab w:val="clear" w:pos="567"/>
        </w:tabs>
        <w:spacing w:line="240" w:lineRule="auto"/>
        <w:rPr>
          <w:szCs w:val="24"/>
          <w:lang w:val="lv-LV"/>
        </w:rPr>
      </w:pPr>
      <w:r w:rsidRPr="00AB2C20">
        <w:rPr>
          <w:szCs w:val="24"/>
          <w:lang w:val="lv-LV"/>
        </w:rPr>
        <w:t>(atbilst 443 mg metamizola)</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Hioscīna butilbromīds</w:t>
      </w:r>
      <w:r w:rsidRPr="00AB2C20">
        <w:rPr>
          <w:szCs w:val="24"/>
          <w:lang w:val="lv-LV"/>
        </w:rPr>
        <w:tab/>
      </w:r>
      <w:r w:rsidRPr="00AB2C20">
        <w:rPr>
          <w:szCs w:val="24"/>
          <w:lang w:val="lv-LV"/>
        </w:rPr>
        <w:tab/>
      </w:r>
      <w:r w:rsidRPr="00AB2C20">
        <w:rPr>
          <w:szCs w:val="24"/>
          <w:lang w:val="lv-LV"/>
        </w:rPr>
        <w:tab/>
      </w:r>
      <w:r w:rsidR="00654CDC">
        <w:rPr>
          <w:szCs w:val="24"/>
          <w:lang w:val="lv-LV"/>
        </w:rPr>
        <w:tab/>
      </w:r>
      <w:r w:rsidRPr="00AB2C20">
        <w:rPr>
          <w:szCs w:val="24"/>
          <w:lang w:val="lv-LV"/>
        </w:rPr>
        <w:t>4,0 mg</w:t>
      </w:r>
    </w:p>
    <w:p w:rsidR="00473450" w:rsidRPr="00AB2C20" w:rsidRDefault="00473450">
      <w:pPr>
        <w:tabs>
          <w:tab w:val="clear" w:pos="567"/>
        </w:tabs>
        <w:spacing w:line="240" w:lineRule="auto"/>
        <w:rPr>
          <w:szCs w:val="24"/>
          <w:lang w:val="lv-LV"/>
        </w:rPr>
      </w:pPr>
      <w:r w:rsidRPr="00AB2C20">
        <w:rPr>
          <w:szCs w:val="24"/>
          <w:lang w:val="lv-LV"/>
        </w:rPr>
        <w:t>(atbilst 2,76 mg hioscīna)</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b/>
          <w:szCs w:val="24"/>
          <w:lang w:val="lv-LV"/>
        </w:rPr>
      </w:pPr>
      <w:r w:rsidRPr="00AB2C20">
        <w:rPr>
          <w:b/>
          <w:szCs w:val="24"/>
          <w:lang w:val="lv-LV"/>
        </w:rPr>
        <w:t>Palīgvielas:</w:t>
      </w:r>
    </w:p>
    <w:p w:rsidR="00473450" w:rsidRPr="00AB2C20" w:rsidRDefault="00473450">
      <w:pPr>
        <w:tabs>
          <w:tab w:val="clear" w:pos="567"/>
        </w:tabs>
        <w:spacing w:line="240" w:lineRule="auto"/>
        <w:rPr>
          <w:szCs w:val="24"/>
          <w:lang w:val="lv-LV"/>
        </w:rPr>
      </w:pPr>
      <w:r w:rsidRPr="00AB2C20">
        <w:rPr>
          <w:szCs w:val="24"/>
          <w:lang w:val="lv-LV"/>
        </w:rPr>
        <w:t>Fenols</w:t>
      </w:r>
      <w:r w:rsidRPr="00AB2C20">
        <w:rPr>
          <w:szCs w:val="24"/>
          <w:lang w:val="lv-LV"/>
        </w:rPr>
        <w:tab/>
      </w:r>
      <w:r w:rsidRPr="00AB2C20">
        <w:rPr>
          <w:szCs w:val="24"/>
          <w:lang w:val="lv-LV"/>
        </w:rPr>
        <w:tab/>
      </w:r>
      <w:r w:rsidRPr="00AB2C20">
        <w:rPr>
          <w:szCs w:val="24"/>
          <w:lang w:val="lv-LV"/>
        </w:rPr>
        <w:tab/>
      </w:r>
      <w:r w:rsidR="00654CDC">
        <w:rPr>
          <w:szCs w:val="24"/>
          <w:lang w:val="lv-LV"/>
        </w:rPr>
        <w:tab/>
      </w:r>
      <w:r w:rsidR="00654CDC">
        <w:rPr>
          <w:szCs w:val="24"/>
          <w:lang w:val="lv-LV"/>
        </w:rPr>
        <w:tab/>
      </w:r>
      <w:r w:rsidR="00654CDC">
        <w:rPr>
          <w:szCs w:val="24"/>
          <w:lang w:val="lv-LV"/>
        </w:rPr>
        <w:tab/>
      </w:r>
      <w:r w:rsidRPr="00AB2C20">
        <w:rPr>
          <w:szCs w:val="24"/>
          <w:lang w:val="lv-LV"/>
        </w:rPr>
        <w:t>5,0 mg</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Pilnu palīgvielu sarakstu skatīt 6.1. apakšpunktā.</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p>
    <w:p w:rsidR="00473450" w:rsidRPr="00AB2C20" w:rsidRDefault="00473450">
      <w:pPr>
        <w:spacing w:line="240" w:lineRule="auto"/>
        <w:rPr>
          <w:szCs w:val="24"/>
          <w:lang w:val="lv-LV"/>
        </w:rPr>
      </w:pPr>
      <w:r w:rsidRPr="00AB2C20">
        <w:rPr>
          <w:b/>
          <w:szCs w:val="24"/>
          <w:lang w:val="lv-LV"/>
        </w:rPr>
        <w:t>3.</w:t>
      </w:r>
      <w:r w:rsidRPr="00AB2C20">
        <w:rPr>
          <w:b/>
          <w:szCs w:val="24"/>
          <w:lang w:val="lv-LV"/>
        </w:rPr>
        <w:tab/>
        <w:t>ZĀĻU FORMA</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Šķīdums injekcijām.</w:t>
      </w:r>
    </w:p>
    <w:p w:rsidR="00473450" w:rsidRPr="00AB2C20" w:rsidRDefault="00473450">
      <w:pPr>
        <w:tabs>
          <w:tab w:val="clear" w:pos="567"/>
        </w:tabs>
        <w:spacing w:line="240" w:lineRule="auto"/>
        <w:rPr>
          <w:szCs w:val="24"/>
          <w:lang w:val="lv-LV"/>
        </w:rPr>
      </w:pPr>
      <w:r w:rsidRPr="00AB2C20">
        <w:rPr>
          <w:szCs w:val="24"/>
          <w:lang w:val="lv-LV"/>
        </w:rPr>
        <w:t>Dzidrs, iedzeltens šķīdums.</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p>
    <w:p w:rsidR="00473450" w:rsidRPr="00AB2C20" w:rsidRDefault="00473450">
      <w:pPr>
        <w:spacing w:line="240" w:lineRule="auto"/>
        <w:rPr>
          <w:b/>
          <w:szCs w:val="24"/>
          <w:lang w:val="lv-LV"/>
        </w:rPr>
      </w:pPr>
      <w:r w:rsidRPr="00AB2C20">
        <w:rPr>
          <w:b/>
          <w:szCs w:val="24"/>
          <w:lang w:val="lv-LV"/>
        </w:rPr>
        <w:t>4.</w:t>
      </w:r>
      <w:r w:rsidRPr="00AB2C20">
        <w:rPr>
          <w:b/>
          <w:szCs w:val="24"/>
          <w:lang w:val="lv-LV"/>
        </w:rPr>
        <w:tab/>
        <w:t>KLĪNISKĀ INFORMĀCIJA</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b/>
          <w:szCs w:val="24"/>
          <w:lang w:val="lv-LV"/>
        </w:rPr>
      </w:pPr>
      <w:r w:rsidRPr="00AB2C20">
        <w:rPr>
          <w:b/>
          <w:szCs w:val="24"/>
          <w:lang w:val="lv-LV"/>
        </w:rPr>
        <w:t>4.1</w:t>
      </w:r>
      <w:r w:rsidRPr="00AB2C20">
        <w:rPr>
          <w:b/>
          <w:szCs w:val="24"/>
          <w:lang w:val="lv-LV"/>
        </w:rPr>
        <w:tab/>
        <w:t>Mērķa sugas</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Zirgi, liellopi, cūkas, suņi</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b/>
          <w:szCs w:val="24"/>
          <w:lang w:val="lv-LV"/>
        </w:rPr>
        <w:t>4.2</w:t>
      </w:r>
      <w:r w:rsidRPr="00AB2C20">
        <w:rPr>
          <w:b/>
          <w:szCs w:val="24"/>
          <w:lang w:val="lv-LV"/>
        </w:rPr>
        <w:tab/>
        <w:t>Lietošanas indikācijas, norādot mērķa sugas</w:t>
      </w:r>
    </w:p>
    <w:p w:rsidR="00473450" w:rsidRPr="00AB2C20" w:rsidRDefault="00473450">
      <w:pPr>
        <w:tabs>
          <w:tab w:val="clear" w:pos="567"/>
        </w:tabs>
        <w:spacing w:line="240" w:lineRule="auto"/>
        <w:rPr>
          <w:szCs w:val="24"/>
          <w:lang w:val="lv-LV"/>
        </w:rPr>
      </w:pPr>
    </w:p>
    <w:p w:rsidR="00F22DAD" w:rsidRPr="00AB2C20" w:rsidRDefault="00473450" w:rsidP="00CF0492">
      <w:pPr>
        <w:tabs>
          <w:tab w:val="clear" w:pos="567"/>
        </w:tabs>
        <w:spacing w:line="240" w:lineRule="auto"/>
        <w:jc w:val="both"/>
        <w:rPr>
          <w:szCs w:val="24"/>
          <w:lang w:val="lv-LV"/>
        </w:rPr>
      </w:pPr>
      <w:bookmarkStart w:id="1" w:name="_Hlk528741804"/>
      <w:bookmarkStart w:id="2" w:name="_Hlk535414880"/>
      <w:r w:rsidRPr="00AB2C20">
        <w:rPr>
          <w:szCs w:val="24"/>
          <w:lang w:val="lv-LV"/>
        </w:rPr>
        <w:t>Zirgi</w:t>
      </w:r>
      <w:r w:rsidR="0049282C">
        <w:rPr>
          <w:szCs w:val="24"/>
          <w:lang w:val="lv-LV"/>
        </w:rPr>
        <w:t>em</w:t>
      </w:r>
      <w:r w:rsidRPr="00AB2C20">
        <w:rPr>
          <w:szCs w:val="24"/>
          <w:lang w:val="lv-LV"/>
        </w:rPr>
        <w:t>, liellopi</w:t>
      </w:r>
      <w:r w:rsidR="0049282C">
        <w:rPr>
          <w:szCs w:val="24"/>
          <w:lang w:val="lv-LV"/>
        </w:rPr>
        <w:t>em</w:t>
      </w:r>
      <w:r w:rsidRPr="00AB2C20">
        <w:rPr>
          <w:szCs w:val="24"/>
          <w:lang w:val="lv-LV"/>
        </w:rPr>
        <w:t xml:space="preserve">, </w:t>
      </w:r>
      <w:r w:rsidR="0049282C" w:rsidRPr="00AB2C20">
        <w:rPr>
          <w:szCs w:val="24"/>
          <w:lang w:val="lv-LV"/>
        </w:rPr>
        <w:t>cūk</w:t>
      </w:r>
      <w:r w:rsidR="0049282C">
        <w:rPr>
          <w:szCs w:val="24"/>
          <w:lang w:val="lv-LV"/>
        </w:rPr>
        <w:t>ām</w:t>
      </w:r>
      <w:r w:rsidRPr="00AB2C20">
        <w:rPr>
          <w:szCs w:val="24"/>
          <w:lang w:val="lv-LV"/>
        </w:rPr>
        <w:t>, suņi</w:t>
      </w:r>
      <w:r w:rsidR="0049282C">
        <w:rPr>
          <w:szCs w:val="24"/>
          <w:lang w:val="lv-LV"/>
        </w:rPr>
        <w:t>em</w:t>
      </w:r>
      <w:r w:rsidRPr="00AB2C20">
        <w:rPr>
          <w:szCs w:val="24"/>
          <w:lang w:val="lv-LV"/>
        </w:rPr>
        <w:t xml:space="preserve">: ar kuņģa-zarnu trakta, uroģenitālās sistēmas un žults izvadsistēmas </w:t>
      </w:r>
      <w:r w:rsidR="00F22DAD">
        <w:rPr>
          <w:szCs w:val="24"/>
          <w:lang w:val="lv-LV"/>
        </w:rPr>
        <w:t xml:space="preserve">darbības </w:t>
      </w:r>
      <w:r w:rsidRPr="00AB2C20">
        <w:rPr>
          <w:szCs w:val="24"/>
          <w:lang w:val="lv-LV"/>
        </w:rPr>
        <w:t>traucējumiem saistītu gludās muskulatūras spazmu un sāpju ārstēšana</w:t>
      </w:r>
      <w:r w:rsidR="00F10999">
        <w:rPr>
          <w:szCs w:val="24"/>
          <w:lang w:val="lv-LV"/>
        </w:rPr>
        <w:t>i</w:t>
      </w:r>
      <w:r w:rsidRPr="00AB2C20">
        <w:rPr>
          <w:szCs w:val="24"/>
          <w:lang w:val="lv-LV"/>
        </w:rPr>
        <w:t>.</w:t>
      </w:r>
    </w:p>
    <w:bookmarkEnd w:id="1"/>
    <w:bookmarkEnd w:id="2"/>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Tikai zirgi</w:t>
      </w:r>
      <w:r w:rsidR="0049282C">
        <w:rPr>
          <w:szCs w:val="24"/>
          <w:lang w:val="lv-LV"/>
        </w:rPr>
        <w:t>em</w:t>
      </w:r>
      <w:r w:rsidRPr="00AB2C20">
        <w:rPr>
          <w:szCs w:val="24"/>
          <w:lang w:val="lv-LV"/>
        </w:rPr>
        <w:t>: spazmveida kolikas.</w:t>
      </w:r>
    </w:p>
    <w:p w:rsidR="00473450" w:rsidRPr="00AB2C20" w:rsidRDefault="00473450">
      <w:pPr>
        <w:tabs>
          <w:tab w:val="clear" w:pos="567"/>
        </w:tabs>
        <w:spacing w:line="240" w:lineRule="auto"/>
        <w:rPr>
          <w:szCs w:val="24"/>
          <w:lang w:val="lv-LV"/>
        </w:rPr>
      </w:pPr>
      <w:r w:rsidRPr="00AB2C20">
        <w:rPr>
          <w:szCs w:val="24"/>
          <w:lang w:val="lv-LV"/>
        </w:rPr>
        <w:t>Liellopi</w:t>
      </w:r>
      <w:r w:rsidR="0049282C">
        <w:rPr>
          <w:szCs w:val="24"/>
          <w:lang w:val="lv-LV"/>
        </w:rPr>
        <w:t>em</w:t>
      </w:r>
      <w:r w:rsidRPr="00AB2C20">
        <w:rPr>
          <w:szCs w:val="24"/>
          <w:lang w:val="lv-LV"/>
        </w:rPr>
        <w:t xml:space="preserve">, </w:t>
      </w:r>
      <w:r w:rsidR="0049282C" w:rsidRPr="00AB2C20">
        <w:rPr>
          <w:szCs w:val="24"/>
          <w:lang w:val="lv-LV"/>
        </w:rPr>
        <w:t>cūk</w:t>
      </w:r>
      <w:r w:rsidR="0049282C">
        <w:rPr>
          <w:szCs w:val="24"/>
          <w:lang w:val="lv-LV"/>
        </w:rPr>
        <w:t>ām</w:t>
      </w:r>
      <w:r w:rsidRPr="00AB2C20">
        <w:rPr>
          <w:szCs w:val="24"/>
          <w:lang w:val="lv-LV"/>
        </w:rPr>
        <w:t>, suņi</w:t>
      </w:r>
      <w:r w:rsidR="0049282C">
        <w:rPr>
          <w:szCs w:val="24"/>
          <w:lang w:val="lv-LV"/>
        </w:rPr>
        <w:t>em</w:t>
      </w:r>
      <w:r w:rsidRPr="00AB2C20">
        <w:rPr>
          <w:szCs w:val="24"/>
          <w:lang w:val="lv-LV"/>
        </w:rPr>
        <w:t xml:space="preserve">: </w:t>
      </w:r>
      <w:r w:rsidR="00F10999" w:rsidRPr="00AB2C20">
        <w:rPr>
          <w:szCs w:val="24"/>
          <w:lang w:val="lv-LV"/>
        </w:rPr>
        <w:t>papild</w:t>
      </w:r>
      <w:r w:rsidR="00F10999">
        <w:rPr>
          <w:szCs w:val="24"/>
          <w:lang w:val="lv-LV"/>
        </w:rPr>
        <w:t xml:space="preserve">u </w:t>
      </w:r>
      <w:r w:rsidR="00F10999" w:rsidRPr="00AB2C20">
        <w:rPr>
          <w:szCs w:val="24"/>
          <w:lang w:val="lv-LV"/>
        </w:rPr>
        <w:t>terapija</w:t>
      </w:r>
      <w:r w:rsidR="00F10999">
        <w:rPr>
          <w:szCs w:val="24"/>
          <w:lang w:val="lv-LV"/>
        </w:rPr>
        <w:t>i</w:t>
      </w:r>
      <w:r w:rsidR="00F10999" w:rsidRPr="00AB2C20">
        <w:rPr>
          <w:szCs w:val="24"/>
          <w:lang w:val="lv-LV"/>
        </w:rPr>
        <w:t xml:space="preserve"> </w:t>
      </w:r>
      <w:r w:rsidRPr="00AB2C20">
        <w:rPr>
          <w:szCs w:val="24"/>
          <w:lang w:val="lv-LV"/>
        </w:rPr>
        <w:t xml:space="preserve">akūtas </w:t>
      </w:r>
      <w:r w:rsidR="00F10999">
        <w:rPr>
          <w:szCs w:val="24"/>
          <w:lang w:val="lv-LV"/>
        </w:rPr>
        <w:t>diarejas</w:t>
      </w:r>
      <w:r w:rsidR="00F10999" w:rsidRPr="00AB2C20">
        <w:rPr>
          <w:szCs w:val="24"/>
          <w:lang w:val="lv-LV"/>
        </w:rPr>
        <w:t xml:space="preserve"> </w:t>
      </w:r>
      <w:r w:rsidRPr="00AB2C20">
        <w:rPr>
          <w:szCs w:val="24"/>
          <w:lang w:val="lv-LV"/>
        </w:rPr>
        <w:t>un gastroenterīta</w:t>
      </w:r>
      <w:r w:rsidR="00F10999">
        <w:rPr>
          <w:szCs w:val="24"/>
          <w:lang w:val="lv-LV"/>
        </w:rPr>
        <w:t xml:space="preserve"> gadījumā</w:t>
      </w:r>
      <w:r w:rsidRPr="00AB2C20">
        <w:rPr>
          <w:szCs w:val="24"/>
          <w:lang w:val="lv-LV"/>
        </w:rPr>
        <w:t>.</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b/>
          <w:szCs w:val="24"/>
          <w:lang w:val="lv-LV"/>
        </w:rPr>
        <w:t>4.3</w:t>
      </w:r>
      <w:r w:rsidRPr="00AB2C20">
        <w:rPr>
          <w:b/>
          <w:szCs w:val="24"/>
          <w:lang w:val="lv-LV"/>
        </w:rPr>
        <w:tab/>
        <w:t>Kontrindikācijas</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Nelietot gadījumos, ja konstatēta pastiprināta jutība pret aktīvajām vielām vai pret kādu no palīgvielām.</w:t>
      </w:r>
    </w:p>
    <w:p w:rsidR="00473450" w:rsidRPr="00CF0CFA" w:rsidRDefault="00473450">
      <w:pPr>
        <w:tabs>
          <w:tab w:val="clear" w:pos="567"/>
        </w:tabs>
        <w:spacing w:line="240" w:lineRule="auto"/>
        <w:rPr>
          <w:szCs w:val="22"/>
          <w:lang w:val="lv-LV"/>
        </w:rPr>
      </w:pPr>
      <w:r w:rsidRPr="00CF0492">
        <w:rPr>
          <w:szCs w:val="22"/>
          <w:lang w:val="lv-LV"/>
        </w:rPr>
        <w:t>Nelietot šād</w:t>
      </w:r>
      <w:r w:rsidR="00F22DAD" w:rsidRPr="00CF0492">
        <w:rPr>
          <w:szCs w:val="22"/>
          <w:lang w:val="lv-LV"/>
        </w:rPr>
        <w:t>os</w:t>
      </w:r>
      <w:r w:rsidRPr="00CF0492">
        <w:rPr>
          <w:szCs w:val="22"/>
          <w:lang w:val="lv-LV"/>
        </w:rPr>
        <w:t xml:space="preserve"> gadījum</w:t>
      </w:r>
      <w:r w:rsidR="00F22DAD" w:rsidRPr="00CF0492">
        <w:rPr>
          <w:szCs w:val="22"/>
          <w:lang w:val="lv-LV"/>
        </w:rPr>
        <w:t>os</w:t>
      </w:r>
      <w:r w:rsidRPr="00CF0492">
        <w:rPr>
          <w:szCs w:val="22"/>
          <w:lang w:val="lv-LV"/>
        </w:rPr>
        <w:t>:</w:t>
      </w:r>
    </w:p>
    <w:p w:rsidR="00473450" w:rsidRPr="00AB2C20" w:rsidRDefault="00473450">
      <w:pPr>
        <w:tabs>
          <w:tab w:val="clear" w:pos="567"/>
        </w:tabs>
        <w:spacing w:line="240" w:lineRule="auto"/>
        <w:rPr>
          <w:szCs w:val="24"/>
          <w:lang w:val="lv-LV"/>
        </w:rPr>
      </w:pPr>
      <w:r w:rsidRPr="00AB2C20">
        <w:rPr>
          <w:szCs w:val="24"/>
          <w:lang w:val="lv-LV"/>
        </w:rPr>
        <w:t>- čūla</w:t>
      </w:r>
      <w:r w:rsidR="00F408B9">
        <w:rPr>
          <w:szCs w:val="24"/>
          <w:lang w:val="lv-LV"/>
        </w:rPr>
        <w:t>s</w:t>
      </w:r>
      <w:r w:rsidRPr="00AB2C20">
        <w:rPr>
          <w:szCs w:val="24"/>
          <w:lang w:val="lv-LV"/>
        </w:rPr>
        <w:t xml:space="preserve"> kuņģa-zarnu traktā</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hroniski kuņģa-zarnu trakta darbības traucējumi</w:t>
      </w:r>
      <w:r w:rsidR="00F22DAD">
        <w:rPr>
          <w:szCs w:val="24"/>
          <w:lang w:val="lv-LV"/>
        </w:rPr>
        <w:t>,</w:t>
      </w:r>
    </w:p>
    <w:p w:rsidR="00473450" w:rsidRPr="00AB2C20" w:rsidRDefault="00473450">
      <w:pPr>
        <w:tabs>
          <w:tab w:val="clear" w:pos="567"/>
        </w:tabs>
        <w:spacing w:line="240" w:lineRule="auto"/>
        <w:rPr>
          <w:szCs w:val="24"/>
          <w:lang w:val="lv-LV"/>
        </w:rPr>
      </w:pPr>
      <w:r w:rsidRPr="00AB2C20">
        <w:rPr>
          <w:szCs w:val="24"/>
          <w:lang w:val="lv-LV"/>
        </w:rPr>
        <w:t>- mehānisks kuņģa-zarnu trakta nosprostojums</w:t>
      </w:r>
      <w:r w:rsidR="00F22DAD">
        <w:rPr>
          <w:szCs w:val="24"/>
          <w:lang w:val="lv-LV"/>
        </w:rPr>
        <w:t>,</w:t>
      </w:r>
    </w:p>
    <w:p w:rsidR="00473450" w:rsidRPr="00AB2C20" w:rsidRDefault="00473450">
      <w:pPr>
        <w:tabs>
          <w:tab w:val="clear" w:pos="567"/>
        </w:tabs>
        <w:spacing w:line="240" w:lineRule="auto"/>
        <w:rPr>
          <w:szCs w:val="24"/>
          <w:lang w:val="lv-LV"/>
        </w:rPr>
      </w:pPr>
      <w:r w:rsidRPr="00AB2C20">
        <w:rPr>
          <w:szCs w:val="24"/>
          <w:lang w:val="lv-LV"/>
        </w:rPr>
        <w:t>- paralītiskais ileuss</w:t>
      </w:r>
      <w:r w:rsidR="00F22DAD">
        <w:rPr>
          <w:szCs w:val="24"/>
          <w:lang w:val="lv-LV"/>
        </w:rPr>
        <w:t>,</w:t>
      </w:r>
      <w:r w:rsidR="00F22DAD" w:rsidRPr="00AB2C20">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lastRenderedPageBreak/>
        <w:t>- asinsrades sistēmas traucējumi</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koagulopātija</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nieru mazspēja</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tahiaritmija</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glaukoma</w:t>
      </w:r>
      <w:r w:rsidR="00F22DAD">
        <w:rPr>
          <w:szCs w:val="24"/>
          <w:lang w:val="lv-LV"/>
        </w:rPr>
        <w:t xml:space="preserve">, </w:t>
      </w:r>
    </w:p>
    <w:p w:rsidR="00473450" w:rsidRPr="00AB2C20" w:rsidRDefault="00473450">
      <w:pPr>
        <w:tabs>
          <w:tab w:val="clear" w:pos="567"/>
        </w:tabs>
        <w:spacing w:line="240" w:lineRule="auto"/>
        <w:rPr>
          <w:szCs w:val="24"/>
          <w:lang w:val="lv-LV"/>
        </w:rPr>
      </w:pPr>
      <w:r w:rsidRPr="00AB2C20">
        <w:rPr>
          <w:szCs w:val="24"/>
          <w:lang w:val="lv-LV"/>
        </w:rPr>
        <w:t xml:space="preserve">- </w:t>
      </w:r>
      <w:r w:rsidR="00F22DAD" w:rsidRPr="00AB2C20">
        <w:rPr>
          <w:szCs w:val="24"/>
          <w:lang w:val="lv-LV"/>
        </w:rPr>
        <w:t>pr</w:t>
      </w:r>
      <w:r w:rsidR="00F22DAD">
        <w:rPr>
          <w:szCs w:val="24"/>
          <w:lang w:val="lv-LV"/>
        </w:rPr>
        <w:t>iek</w:t>
      </w:r>
      <w:r w:rsidR="006E5AC1">
        <w:rPr>
          <w:szCs w:val="24"/>
          <w:lang w:val="lv-LV"/>
        </w:rPr>
        <w:t>š</w:t>
      </w:r>
      <w:r w:rsidR="00F22DAD">
        <w:rPr>
          <w:szCs w:val="24"/>
          <w:lang w:val="lv-LV"/>
        </w:rPr>
        <w:t>dziedzer</w:t>
      </w:r>
      <w:r w:rsidR="006E5AC1">
        <w:rPr>
          <w:szCs w:val="24"/>
          <w:lang w:val="lv-LV"/>
        </w:rPr>
        <w:t>a</w:t>
      </w:r>
      <w:r w:rsidR="00F22DAD" w:rsidRPr="00AB2C20">
        <w:rPr>
          <w:szCs w:val="24"/>
          <w:lang w:val="lv-LV"/>
        </w:rPr>
        <w:t xml:space="preserve"> </w:t>
      </w:r>
      <w:r w:rsidRPr="00AB2C20">
        <w:rPr>
          <w:szCs w:val="24"/>
          <w:lang w:val="lv-LV"/>
        </w:rPr>
        <w:t>adenoma.</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b/>
          <w:szCs w:val="24"/>
          <w:lang w:val="lv-LV"/>
        </w:rPr>
      </w:pPr>
      <w:r w:rsidRPr="00AB2C20">
        <w:rPr>
          <w:b/>
          <w:szCs w:val="24"/>
          <w:lang w:val="lv-LV"/>
        </w:rPr>
        <w:t>4.4</w:t>
      </w:r>
      <w:r w:rsidRPr="00AB2C20">
        <w:rPr>
          <w:b/>
          <w:szCs w:val="24"/>
          <w:lang w:val="lv-LV"/>
        </w:rPr>
        <w:tab/>
        <w:t>Īpaši brīdinājumi katrai mērķa sugai</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szCs w:val="24"/>
          <w:lang w:val="lv-LV"/>
        </w:rPr>
        <w:t>Nav.</w:t>
      </w: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b/>
          <w:szCs w:val="24"/>
          <w:lang w:val="lv-LV"/>
        </w:rPr>
        <w:t>4.5</w:t>
      </w:r>
      <w:r w:rsidRPr="00AB2C20">
        <w:rPr>
          <w:b/>
          <w:szCs w:val="24"/>
          <w:lang w:val="lv-LV"/>
        </w:rPr>
        <w:tab/>
        <w:t>Īpaši piesardzības pasākumi lietošanā</w:t>
      </w:r>
    </w:p>
    <w:p w:rsidR="00473450" w:rsidRPr="00AB2C20" w:rsidRDefault="00473450">
      <w:pPr>
        <w:tabs>
          <w:tab w:val="clear" w:pos="567"/>
        </w:tabs>
        <w:spacing w:line="240" w:lineRule="auto"/>
        <w:rPr>
          <w:szCs w:val="24"/>
          <w:lang w:val="lv-LV"/>
        </w:rPr>
      </w:pPr>
    </w:p>
    <w:p w:rsidR="00473450" w:rsidRPr="00AB2C20" w:rsidRDefault="00473450" w:rsidP="00CF0492">
      <w:pPr>
        <w:keepNext/>
        <w:keepLines/>
        <w:tabs>
          <w:tab w:val="clear" w:pos="567"/>
        </w:tabs>
        <w:spacing w:line="240" w:lineRule="auto"/>
        <w:jc w:val="both"/>
        <w:rPr>
          <w:szCs w:val="24"/>
          <w:u w:val="single"/>
          <w:lang w:val="lv-LV"/>
        </w:rPr>
      </w:pPr>
      <w:r w:rsidRPr="00AB2C20">
        <w:rPr>
          <w:szCs w:val="24"/>
          <w:u w:val="single"/>
          <w:lang w:val="lv-LV"/>
        </w:rPr>
        <w:t>Īpaši piesardzības pasākumi, lietojot dzīvniekiem</w:t>
      </w:r>
    </w:p>
    <w:p w:rsidR="00473450" w:rsidRPr="00AB2C20" w:rsidRDefault="00473450" w:rsidP="00CF0492">
      <w:pPr>
        <w:tabs>
          <w:tab w:val="clear" w:pos="567"/>
        </w:tabs>
        <w:spacing w:line="240" w:lineRule="auto"/>
        <w:jc w:val="both"/>
        <w:rPr>
          <w:szCs w:val="24"/>
          <w:lang w:val="lv-LV"/>
        </w:rPr>
      </w:pPr>
      <w:r w:rsidRPr="00AB2C20">
        <w:rPr>
          <w:szCs w:val="24"/>
          <w:lang w:val="lv-LV"/>
        </w:rPr>
        <w:t>Anafilaktiskā šoka riska dēļ metamizolu saturoš</w:t>
      </w:r>
      <w:r w:rsidR="00A14BCB">
        <w:rPr>
          <w:szCs w:val="24"/>
          <w:lang w:val="lv-LV"/>
        </w:rPr>
        <w:t>i</w:t>
      </w:r>
      <w:r w:rsidRPr="00AB2C20">
        <w:rPr>
          <w:szCs w:val="24"/>
          <w:lang w:val="lv-LV"/>
        </w:rPr>
        <w:t xml:space="preserve"> šķīdum</w:t>
      </w:r>
      <w:r w:rsidR="00A14BCB">
        <w:rPr>
          <w:szCs w:val="24"/>
          <w:lang w:val="lv-LV"/>
        </w:rPr>
        <w:t xml:space="preserve">i </w:t>
      </w:r>
      <w:r w:rsidRPr="00AB2C20">
        <w:rPr>
          <w:szCs w:val="24"/>
          <w:lang w:val="lv-LV"/>
        </w:rPr>
        <w:t xml:space="preserve">intravenozas </w:t>
      </w:r>
      <w:r w:rsidR="00A14BCB">
        <w:rPr>
          <w:szCs w:val="24"/>
          <w:lang w:val="lv-LV"/>
        </w:rPr>
        <w:t>lietošanas gadījumā</w:t>
      </w:r>
      <w:r w:rsidR="00A14BCB" w:rsidRPr="00AB2C20">
        <w:rPr>
          <w:szCs w:val="24"/>
          <w:lang w:val="lv-LV"/>
        </w:rPr>
        <w:t xml:space="preserve"> </w:t>
      </w:r>
      <w:r w:rsidRPr="00AB2C20">
        <w:rPr>
          <w:szCs w:val="24"/>
          <w:lang w:val="lv-LV"/>
        </w:rPr>
        <w:t>jāievada lēni.</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keepNext/>
        <w:keepLines/>
        <w:tabs>
          <w:tab w:val="clear" w:pos="567"/>
        </w:tabs>
        <w:spacing w:line="240" w:lineRule="auto"/>
        <w:jc w:val="both"/>
        <w:rPr>
          <w:szCs w:val="24"/>
          <w:u w:val="single"/>
          <w:lang w:val="lv-LV"/>
        </w:rPr>
      </w:pPr>
      <w:r w:rsidRPr="00AB2C20">
        <w:rPr>
          <w:szCs w:val="24"/>
          <w:u w:val="single"/>
          <w:lang w:val="lv-LV"/>
        </w:rPr>
        <w:t>Īpaši piesardzības pasākumi, kas jāievēro personai, kura lieto veterinārās zāles dzīvnieku ārstēšanai</w:t>
      </w: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Ļoti </w:t>
      </w:r>
      <w:r w:rsidR="00F408B9">
        <w:rPr>
          <w:szCs w:val="24"/>
          <w:lang w:val="lv-LV"/>
        </w:rPr>
        <w:t>mazam</w:t>
      </w:r>
      <w:r w:rsidR="00F408B9" w:rsidRPr="00AB2C20">
        <w:rPr>
          <w:szCs w:val="24"/>
          <w:lang w:val="lv-LV"/>
        </w:rPr>
        <w:t xml:space="preserve"> cilvēku </w:t>
      </w:r>
      <w:r w:rsidRPr="00AB2C20">
        <w:rPr>
          <w:szCs w:val="24"/>
          <w:lang w:val="lv-LV"/>
        </w:rPr>
        <w:t xml:space="preserve">skaitam metamizols var izraisīt atgriezenisku, bet iespējami </w:t>
      </w:r>
      <w:r w:rsidR="00A14BCB">
        <w:rPr>
          <w:szCs w:val="24"/>
          <w:lang w:val="lv-LV"/>
        </w:rPr>
        <w:t xml:space="preserve">nopietnu </w:t>
      </w:r>
      <w:r w:rsidRPr="00AB2C20">
        <w:rPr>
          <w:szCs w:val="24"/>
          <w:lang w:val="lv-LV"/>
        </w:rPr>
        <w:t xml:space="preserve">agranulocitozi un citas reakcijas, piemēram, ādas alerģiju. </w:t>
      </w:r>
      <w:r w:rsidR="00A14BCB">
        <w:rPr>
          <w:szCs w:val="24"/>
          <w:lang w:val="lv-LV"/>
        </w:rPr>
        <w:t>Ievērojiet piesardzību</w:t>
      </w:r>
      <w:r w:rsidRPr="00AB2C20">
        <w:rPr>
          <w:szCs w:val="24"/>
          <w:lang w:val="lv-LV"/>
        </w:rPr>
        <w:t>, lai izvairītos no pašinjicēšanas.</w:t>
      </w:r>
    </w:p>
    <w:p w:rsidR="00473450" w:rsidRPr="00AB2C20" w:rsidRDefault="00473450" w:rsidP="00CF0492">
      <w:pPr>
        <w:tabs>
          <w:tab w:val="clear" w:pos="567"/>
        </w:tabs>
        <w:spacing w:line="240" w:lineRule="auto"/>
        <w:jc w:val="both"/>
        <w:rPr>
          <w:szCs w:val="24"/>
          <w:lang w:val="lv-LV"/>
        </w:rPr>
      </w:pPr>
      <w:r w:rsidRPr="00AB2C20">
        <w:rPr>
          <w:szCs w:val="24"/>
          <w:lang w:val="lv-LV"/>
        </w:rPr>
        <w:t>Ja notikusi nejauša (gadījuma rakstura) pašinjicēšana, nekavējoties meklēt medicīnisko palīdzību un uzrādīt lietošanas instrukciju vai iepakojuma marķējumu ārstam.</w:t>
      </w:r>
    </w:p>
    <w:p w:rsidR="00473450" w:rsidRPr="00AB2C20" w:rsidRDefault="00473450" w:rsidP="00CF0492">
      <w:pPr>
        <w:tabs>
          <w:tab w:val="clear" w:pos="567"/>
        </w:tabs>
        <w:spacing w:line="240" w:lineRule="auto"/>
        <w:jc w:val="both"/>
        <w:rPr>
          <w:szCs w:val="24"/>
          <w:lang w:val="lv-LV"/>
        </w:rPr>
      </w:pPr>
      <w:r w:rsidRPr="00AB2C20">
        <w:rPr>
          <w:szCs w:val="24"/>
          <w:lang w:val="lv-LV"/>
        </w:rPr>
        <w:t>Izvairīties no</w:t>
      </w:r>
      <w:r w:rsidR="00A14BCB">
        <w:rPr>
          <w:szCs w:val="24"/>
          <w:lang w:val="lv-LV"/>
        </w:rPr>
        <w:t xml:space="preserve"> zā</w:t>
      </w:r>
      <w:r w:rsidR="00F10999">
        <w:rPr>
          <w:szCs w:val="24"/>
          <w:lang w:val="lv-LV"/>
        </w:rPr>
        <w:t>ļ</w:t>
      </w:r>
      <w:r w:rsidR="00A14BCB">
        <w:rPr>
          <w:szCs w:val="24"/>
          <w:lang w:val="lv-LV"/>
        </w:rPr>
        <w:t>u</w:t>
      </w:r>
      <w:r w:rsidRPr="00AB2C20">
        <w:rPr>
          <w:szCs w:val="24"/>
          <w:lang w:val="lv-LV"/>
        </w:rPr>
        <w:t xml:space="preserve"> saskares ar ādu un acīm. Personām ar zināmu pastiprinātu jutību pret metamizolu vai hioscīna butilbromīdu vajadzētu izvairīties no saskares ar šīm veterinārajām zālēm. Izvair</w:t>
      </w:r>
      <w:r w:rsidR="00A14BCB">
        <w:rPr>
          <w:szCs w:val="24"/>
          <w:lang w:val="lv-LV"/>
        </w:rPr>
        <w:t>ie</w:t>
      </w:r>
      <w:r w:rsidRPr="00AB2C20">
        <w:rPr>
          <w:szCs w:val="24"/>
          <w:lang w:val="lv-LV"/>
        </w:rPr>
        <w:t xml:space="preserve">ties no saskares ar </w:t>
      </w:r>
      <w:r w:rsidR="00A14BCB">
        <w:rPr>
          <w:szCs w:val="24"/>
          <w:lang w:val="lv-LV"/>
        </w:rPr>
        <w:t xml:space="preserve">šīm veterinārajām </w:t>
      </w:r>
      <w:r w:rsidRPr="00AB2C20">
        <w:rPr>
          <w:szCs w:val="24"/>
          <w:lang w:val="lv-LV"/>
        </w:rPr>
        <w:t xml:space="preserve">zālēm, ja </w:t>
      </w:r>
      <w:r w:rsidR="00F10999">
        <w:rPr>
          <w:szCs w:val="24"/>
          <w:lang w:val="lv-LV"/>
        </w:rPr>
        <w:t>j</w:t>
      </w:r>
      <w:r w:rsidR="00F10999" w:rsidRPr="00AB2C20">
        <w:rPr>
          <w:szCs w:val="24"/>
          <w:lang w:val="lv-LV"/>
        </w:rPr>
        <w:t xml:space="preserve">ums </w:t>
      </w:r>
      <w:r w:rsidRPr="00AB2C20">
        <w:rPr>
          <w:szCs w:val="24"/>
          <w:lang w:val="lv-LV"/>
        </w:rPr>
        <w:t>ir pastiprināta jutība pret pirazoloniem vai acetilsalicilskābi.</w:t>
      </w:r>
    </w:p>
    <w:p w:rsidR="00473450" w:rsidRPr="00AB2C20" w:rsidRDefault="00473450" w:rsidP="00CF0492">
      <w:pPr>
        <w:tabs>
          <w:tab w:val="clear" w:pos="567"/>
        </w:tabs>
        <w:spacing w:line="240" w:lineRule="auto"/>
        <w:jc w:val="both"/>
        <w:rPr>
          <w:szCs w:val="24"/>
          <w:lang w:val="lv-LV"/>
        </w:rPr>
      </w:pPr>
      <w:r w:rsidRPr="00AB2C20">
        <w:rPr>
          <w:szCs w:val="24"/>
          <w:lang w:val="lv-LV"/>
        </w:rPr>
        <w:t>Nekavējoties nomazgā</w:t>
      </w:r>
      <w:r w:rsidR="001D7AE4">
        <w:rPr>
          <w:szCs w:val="24"/>
          <w:lang w:val="lv-LV"/>
        </w:rPr>
        <w:t>jie</w:t>
      </w:r>
      <w:r w:rsidRPr="00AB2C20">
        <w:rPr>
          <w:szCs w:val="24"/>
          <w:lang w:val="lv-LV"/>
        </w:rPr>
        <w:t xml:space="preserve">t </w:t>
      </w:r>
      <w:r w:rsidR="001D7AE4">
        <w:rPr>
          <w:szCs w:val="24"/>
          <w:lang w:val="lv-LV"/>
        </w:rPr>
        <w:t>uz ādas vai acīs nonākušās zāles</w:t>
      </w:r>
      <w:r w:rsidRPr="00AB2C20">
        <w:rPr>
          <w:szCs w:val="24"/>
          <w:lang w:val="lv-LV"/>
        </w:rPr>
        <w:t>.</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4.6</w:t>
      </w:r>
      <w:r w:rsidRPr="00AB2C20">
        <w:rPr>
          <w:b/>
          <w:szCs w:val="24"/>
          <w:lang w:val="lv-LV"/>
        </w:rPr>
        <w:tab/>
        <w:t>Iespējamās blakusparādības (biežums un bīstamība)</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3" w:name="_Hlk528572572"/>
      <w:r w:rsidRPr="00AB2C20">
        <w:rPr>
          <w:szCs w:val="24"/>
          <w:lang w:val="lv-LV"/>
        </w:rPr>
        <w:t>Ļoti retos gadījumos var rasties anafilaktiskas reakcijas, kuras jāārstē simptomātiski.</w:t>
      </w:r>
    </w:p>
    <w:bookmarkEnd w:id="3"/>
    <w:p w:rsidR="00473450" w:rsidRPr="00AB2C20" w:rsidRDefault="00473450" w:rsidP="00CF0492">
      <w:pPr>
        <w:tabs>
          <w:tab w:val="clear" w:pos="567"/>
        </w:tabs>
        <w:spacing w:line="240" w:lineRule="auto"/>
        <w:jc w:val="both"/>
        <w:rPr>
          <w:szCs w:val="24"/>
          <w:lang w:val="lv-LV"/>
        </w:rPr>
      </w:pPr>
      <w:r w:rsidRPr="00AB2C20">
        <w:rPr>
          <w:szCs w:val="24"/>
          <w:lang w:val="lv-LV"/>
        </w:rPr>
        <w:t>Ļoti retos gadījumos var rasties kardiovaskulārais šoks, ja intravenozā injekcija ir ievadīta pārāk ātri.</w:t>
      </w:r>
    </w:p>
    <w:p w:rsidR="00473450" w:rsidRPr="00AB2C20" w:rsidRDefault="00473450" w:rsidP="00CF0492">
      <w:pPr>
        <w:tabs>
          <w:tab w:val="clear" w:pos="567"/>
        </w:tabs>
        <w:spacing w:line="240" w:lineRule="auto"/>
        <w:jc w:val="both"/>
        <w:rPr>
          <w:szCs w:val="24"/>
          <w:lang w:val="lv-LV"/>
        </w:rPr>
      </w:pPr>
      <w:bookmarkStart w:id="4" w:name="_Hlk528741891"/>
      <w:r w:rsidRPr="00AB2C20">
        <w:rPr>
          <w:szCs w:val="24"/>
          <w:lang w:val="lv-LV"/>
        </w:rPr>
        <w:t>Zirgiem reizēm var rasties viegla tahikardija, ko izraisa hioscīna butilbromīda parasimpatolītiskā aktivitāte.</w:t>
      </w:r>
    </w:p>
    <w:bookmarkEnd w:id="4"/>
    <w:p w:rsidR="00473450" w:rsidRPr="00AB2C20" w:rsidRDefault="00473450" w:rsidP="00CF0492">
      <w:pPr>
        <w:tabs>
          <w:tab w:val="clear" w:pos="567"/>
        </w:tabs>
        <w:spacing w:line="240" w:lineRule="auto"/>
        <w:jc w:val="both"/>
        <w:rPr>
          <w:szCs w:val="24"/>
          <w:lang w:val="lv-LV"/>
        </w:rPr>
      </w:pPr>
      <w:r w:rsidRPr="00AB2C20">
        <w:rPr>
          <w:szCs w:val="24"/>
          <w:lang w:val="lv-LV"/>
        </w:rPr>
        <w:t xml:space="preserve">Suņiem </w:t>
      </w:r>
      <w:r w:rsidR="007900C3">
        <w:rPr>
          <w:szCs w:val="24"/>
          <w:lang w:val="lv-LV"/>
        </w:rPr>
        <w:t>uzreiz</w:t>
      </w:r>
      <w:r w:rsidR="007900C3" w:rsidRPr="00AB2C20">
        <w:rPr>
          <w:szCs w:val="24"/>
          <w:lang w:val="lv-LV"/>
        </w:rPr>
        <w:t xml:space="preserve"> </w:t>
      </w:r>
      <w:r w:rsidRPr="00AB2C20">
        <w:rPr>
          <w:szCs w:val="24"/>
          <w:lang w:val="lv-LV"/>
        </w:rPr>
        <w:t xml:space="preserve">pēc </w:t>
      </w:r>
      <w:r w:rsidR="007900C3">
        <w:rPr>
          <w:szCs w:val="24"/>
          <w:lang w:val="lv-LV"/>
        </w:rPr>
        <w:t>zāļu ievadīšanas</w:t>
      </w:r>
      <w:r w:rsidR="007900C3" w:rsidRPr="00AB2C20">
        <w:rPr>
          <w:szCs w:val="24"/>
          <w:lang w:val="lv-LV"/>
        </w:rPr>
        <w:t xml:space="preserve"> injekcijas vietā </w:t>
      </w:r>
      <w:r w:rsidRPr="00AB2C20">
        <w:rPr>
          <w:szCs w:val="24"/>
          <w:lang w:val="lv-LV"/>
        </w:rPr>
        <w:t xml:space="preserve">var rasties sāpīgas reakcijas, </w:t>
      </w:r>
      <w:r w:rsidR="007900C3">
        <w:rPr>
          <w:szCs w:val="24"/>
          <w:lang w:val="lv-LV"/>
        </w:rPr>
        <w:t>kas</w:t>
      </w:r>
      <w:r w:rsidRPr="00AB2C20">
        <w:rPr>
          <w:szCs w:val="24"/>
          <w:lang w:val="lv-LV"/>
        </w:rPr>
        <w:t xml:space="preserve"> ātri </w:t>
      </w:r>
      <w:r w:rsidR="007900C3">
        <w:rPr>
          <w:szCs w:val="24"/>
          <w:lang w:val="lv-LV"/>
        </w:rPr>
        <w:t>mazinās</w:t>
      </w:r>
      <w:r w:rsidR="007900C3" w:rsidRPr="00AB2C20">
        <w:rPr>
          <w:szCs w:val="24"/>
          <w:lang w:val="lv-LV"/>
        </w:rPr>
        <w:t xml:space="preserve"> </w:t>
      </w:r>
      <w:r w:rsidRPr="00AB2C20">
        <w:rPr>
          <w:szCs w:val="24"/>
          <w:lang w:val="lv-LV"/>
        </w:rPr>
        <w:t>un tām nav negatīvas ietekmes uz paredzamo terapeitisko ie</w:t>
      </w:r>
      <w:r w:rsidR="007900C3">
        <w:rPr>
          <w:szCs w:val="24"/>
          <w:lang w:val="lv-LV"/>
        </w:rPr>
        <w:t>darbību</w:t>
      </w:r>
      <w:r w:rsidRPr="00AB2C20">
        <w:rPr>
          <w:szCs w:val="24"/>
          <w:lang w:val="lv-LV"/>
        </w:rPr>
        <w:t>.</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keepNext/>
        <w:jc w:val="both"/>
        <w:rPr>
          <w:szCs w:val="24"/>
          <w:lang w:val="lv-LV"/>
        </w:rPr>
      </w:pPr>
      <w:r w:rsidRPr="00AB2C20">
        <w:rPr>
          <w:szCs w:val="24"/>
          <w:lang w:val="lv-LV"/>
        </w:rPr>
        <w:t>Veterināro zāļu blakusparādību sastopamības biežums norādīts sekojošā secībā:</w:t>
      </w:r>
    </w:p>
    <w:p w:rsidR="00473450" w:rsidRPr="00AB2C20" w:rsidRDefault="00473450" w:rsidP="00CF0492">
      <w:pPr>
        <w:tabs>
          <w:tab w:val="clear" w:pos="567"/>
        </w:tabs>
        <w:spacing w:line="240" w:lineRule="auto"/>
        <w:jc w:val="both"/>
        <w:rPr>
          <w:szCs w:val="24"/>
          <w:lang w:val="lv-LV"/>
        </w:rPr>
      </w:pPr>
      <w:r w:rsidRPr="00AB2C20">
        <w:rPr>
          <w:szCs w:val="24"/>
          <w:lang w:val="lv-LV"/>
        </w:rPr>
        <w:t>- ļoti bieži (vairāk nekā 1 no 10 ārstētajiem dzīvniekiem novērota(-s) nevēlama(-s) blakusparādība</w:t>
      </w:r>
      <w:r w:rsidR="007900C3" w:rsidRPr="00AB2C20">
        <w:rPr>
          <w:szCs w:val="24"/>
          <w:lang w:val="lv-LV"/>
        </w:rPr>
        <w:t>(</w:t>
      </w:r>
      <w:r w:rsidR="007900C3">
        <w:rPr>
          <w:szCs w:val="24"/>
          <w:lang w:val="lv-LV"/>
        </w:rPr>
        <w:noBreakHyphen/>
      </w:r>
      <w:r w:rsidRPr="00AB2C20">
        <w:rPr>
          <w:szCs w:val="24"/>
          <w:lang w:val="lv-LV"/>
        </w:rPr>
        <w:t xml:space="preserve">s)); </w:t>
      </w:r>
    </w:p>
    <w:p w:rsidR="00473450" w:rsidRPr="00AB2C20" w:rsidRDefault="00473450" w:rsidP="00CF0492">
      <w:pPr>
        <w:tabs>
          <w:tab w:val="clear" w:pos="567"/>
        </w:tabs>
        <w:spacing w:line="240" w:lineRule="auto"/>
        <w:jc w:val="both"/>
        <w:rPr>
          <w:szCs w:val="24"/>
          <w:lang w:val="lv-LV"/>
        </w:rPr>
      </w:pPr>
      <w:r w:rsidRPr="00AB2C20">
        <w:rPr>
          <w:szCs w:val="24"/>
          <w:lang w:val="lv-LV"/>
        </w:rPr>
        <w:t>- bieži (vairāk nekā 1, bet mazāk nekā 10 dzīvniekiem no 100 ārstētajiem dzīvniekiem);</w:t>
      </w:r>
    </w:p>
    <w:p w:rsidR="00473450" w:rsidRPr="00AB2C20" w:rsidRDefault="00473450" w:rsidP="00CF0492">
      <w:pPr>
        <w:tabs>
          <w:tab w:val="clear" w:pos="567"/>
        </w:tabs>
        <w:spacing w:line="240" w:lineRule="auto"/>
        <w:jc w:val="both"/>
        <w:rPr>
          <w:szCs w:val="24"/>
          <w:lang w:val="lv-LV"/>
        </w:rPr>
      </w:pPr>
      <w:r w:rsidRPr="00AB2C20">
        <w:rPr>
          <w:szCs w:val="24"/>
          <w:lang w:val="lv-LV"/>
        </w:rPr>
        <w:t>- retāk (vairāk nekā 1, bet mazāk nekā 10 dzīvniekiem no 1000 ārstētajiem dzīvniekiem);</w:t>
      </w:r>
    </w:p>
    <w:p w:rsidR="00473450" w:rsidRPr="00AB2C20" w:rsidRDefault="00473450" w:rsidP="00CF0492">
      <w:pPr>
        <w:tabs>
          <w:tab w:val="clear" w:pos="567"/>
        </w:tabs>
        <w:spacing w:line="240" w:lineRule="auto"/>
        <w:jc w:val="both"/>
        <w:rPr>
          <w:szCs w:val="24"/>
          <w:lang w:val="lv-LV"/>
        </w:rPr>
      </w:pPr>
      <w:r w:rsidRPr="00AB2C20">
        <w:rPr>
          <w:szCs w:val="24"/>
          <w:lang w:val="lv-LV"/>
        </w:rPr>
        <w:t>- reti (vairāk nekā 1, bet mazāk nekā 10 dzīvniekiem no 10000 ārstētajiem dzīvniekiem);</w:t>
      </w:r>
    </w:p>
    <w:p w:rsidR="00473450" w:rsidRPr="00AB2C20" w:rsidRDefault="00473450" w:rsidP="00CF0492">
      <w:pPr>
        <w:tabs>
          <w:tab w:val="clear" w:pos="567"/>
        </w:tabs>
        <w:spacing w:line="240" w:lineRule="auto"/>
        <w:jc w:val="both"/>
        <w:rPr>
          <w:szCs w:val="24"/>
          <w:lang w:val="lv-LV"/>
        </w:rPr>
      </w:pPr>
      <w:r w:rsidRPr="00AB2C20">
        <w:rPr>
          <w:szCs w:val="24"/>
          <w:lang w:val="lv-LV"/>
        </w:rPr>
        <w:t>- ļoti reti (mazāk nekā 1 dzīvniekam no 10000 ārstētajiem dzīvniekiem, ieskaitot atsevišķus ziņojumus).</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4.7</w:t>
      </w:r>
      <w:r w:rsidRPr="00AB2C20">
        <w:rPr>
          <w:b/>
          <w:szCs w:val="24"/>
          <w:lang w:val="lv-LV"/>
        </w:rPr>
        <w:tab/>
        <w:t>Lietošana grūsnības, laktācijas vai dēšanas laikā</w:t>
      </w:r>
    </w:p>
    <w:p w:rsidR="001D7AE4" w:rsidRPr="00AB2C20" w:rsidRDefault="001D7AE4"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5" w:name="_Hlk528741944"/>
      <w:r w:rsidRPr="00AB2C20">
        <w:rPr>
          <w:szCs w:val="24"/>
          <w:lang w:val="lv-LV"/>
        </w:rPr>
        <w:t>Pētījumos laboratorijas dzīvniekiem (truši, žurkas) teratogēna iedarbība</w:t>
      </w:r>
      <w:r w:rsidR="00BF4C5C" w:rsidRPr="00BF4C5C">
        <w:rPr>
          <w:szCs w:val="24"/>
          <w:lang w:val="lv-LV"/>
        </w:rPr>
        <w:t xml:space="preserve"> </w:t>
      </w:r>
      <w:r w:rsidR="00BF4C5C">
        <w:rPr>
          <w:szCs w:val="24"/>
          <w:lang w:val="lv-LV"/>
        </w:rPr>
        <w:t>netika</w:t>
      </w:r>
      <w:r w:rsidR="00BF4C5C" w:rsidRPr="00AB2C20">
        <w:rPr>
          <w:szCs w:val="24"/>
          <w:lang w:val="lv-LV"/>
        </w:rPr>
        <w:t xml:space="preserve"> konstatēta</w:t>
      </w:r>
      <w:r w:rsidRPr="00AB2C20">
        <w:rPr>
          <w:szCs w:val="24"/>
          <w:lang w:val="lv-LV"/>
        </w:rPr>
        <w:t xml:space="preserve">. Informācija par lietošanu mērķa sugām grūsnības laikā nav pieejama. Metamizola metabolīti šķērso placentāro barjeru un izdalās pienā. </w:t>
      </w:r>
      <w:r w:rsidR="00BF4C5C" w:rsidRPr="00AB2C20">
        <w:rPr>
          <w:szCs w:val="24"/>
          <w:lang w:val="lv-LV"/>
        </w:rPr>
        <w:t>Tā</w:t>
      </w:r>
      <w:r w:rsidR="00BF4C5C">
        <w:rPr>
          <w:szCs w:val="24"/>
          <w:lang w:val="lv-LV"/>
        </w:rPr>
        <w:t>dēļ</w:t>
      </w:r>
      <w:r w:rsidR="00BF4C5C" w:rsidRPr="00AB2C20">
        <w:rPr>
          <w:szCs w:val="24"/>
          <w:lang w:val="lv-LV"/>
        </w:rPr>
        <w:t xml:space="preserve"> </w:t>
      </w:r>
      <w:r w:rsidRPr="00AB2C20">
        <w:rPr>
          <w:szCs w:val="24"/>
          <w:lang w:val="lv-LV"/>
        </w:rPr>
        <w:t>šīs veterinārās zāles</w:t>
      </w:r>
      <w:r w:rsidR="00BF4C5C">
        <w:rPr>
          <w:szCs w:val="24"/>
          <w:lang w:val="lv-LV"/>
        </w:rPr>
        <w:t xml:space="preserve"> drīkst</w:t>
      </w:r>
      <w:r w:rsidRPr="00AB2C20">
        <w:rPr>
          <w:szCs w:val="24"/>
          <w:lang w:val="lv-LV"/>
        </w:rPr>
        <w:t xml:space="preserve"> lietot tikai pēc ārstējošā veterinārārsta ieguvuma un riska attiecības izvērtēšanas.</w:t>
      </w:r>
    </w:p>
    <w:bookmarkEnd w:id="5"/>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b/>
          <w:szCs w:val="24"/>
          <w:lang w:val="lv-LV"/>
        </w:rPr>
        <w:t>4.8</w:t>
      </w:r>
      <w:r w:rsidRPr="00AB2C20">
        <w:rPr>
          <w:b/>
          <w:szCs w:val="24"/>
          <w:lang w:val="lv-LV"/>
        </w:rPr>
        <w:tab/>
        <w:t>Mijiedarbība ar citām zālēm un citi mijiedarbības veidi</w:t>
      </w:r>
    </w:p>
    <w:p w:rsidR="00473450" w:rsidRPr="00AB2C20" w:rsidRDefault="00473450">
      <w:pPr>
        <w:tabs>
          <w:tab w:val="clear" w:pos="567"/>
        </w:tabs>
        <w:spacing w:line="240" w:lineRule="auto"/>
        <w:rPr>
          <w:szCs w:val="24"/>
          <w:lang w:val="lv-LV"/>
        </w:rPr>
      </w:pPr>
    </w:p>
    <w:p w:rsidR="00473450" w:rsidRPr="00AB2C20" w:rsidRDefault="00473450" w:rsidP="00CF0492">
      <w:pPr>
        <w:tabs>
          <w:tab w:val="clear" w:pos="567"/>
        </w:tabs>
        <w:spacing w:line="240" w:lineRule="auto"/>
        <w:jc w:val="both"/>
        <w:rPr>
          <w:szCs w:val="24"/>
          <w:lang w:val="lv-LV"/>
        </w:rPr>
      </w:pPr>
      <w:bookmarkStart w:id="6" w:name="_Hlk528741991"/>
      <w:r w:rsidRPr="00AB2C20">
        <w:rPr>
          <w:szCs w:val="24"/>
          <w:lang w:val="lv-LV"/>
        </w:rPr>
        <w:lastRenderedPageBreak/>
        <w:t>Metamizola un/vai hioscīna butilbromīda iedarbību var pastiprināt vienlaicīga citu antiholīnerģisku vai pretsāpju līdzekļu lietošana.</w:t>
      </w:r>
    </w:p>
    <w:bookmarkEnd w:id="6"/>
    <w:p w:rsidR="00473450" w:rsidRPr="00AB2C20" w:rsidRDefault="00473450" w:rsidP="00CF0492">
      <w:pPr>
        <w:tabs>
          <w:tab w:val="clear" w:pos="567"/>
        </w:tabs>
        <w:spacing w:line="240" w:lineRule="auto"/>
        <w:jc w:val="both"/>
        <w:rPr>
          <w:szCs w:val="24"/>
          <w:lang w:val="lv-LV"/>
        </w:rPr>
      </w:pPr>
      <w:r w:rsidRPr="00AB2C20">
        <w:rPr>
          <w:szCs w:val="24"/>
          <w:lang w:val="lv-LV"/>
        </w:rPr>
        <w:t xml:space="preserve">Vienlaicīga aknu mikrosomu enzīmu induktoru (piem., barbiturātu, fenilbutazona) lietošana </w:t>
      </w:r>
      <w:r w:rsidR="00556183" w:rsidRPr="00AB2C20">
        <w:rPr>
          <w:szCs w:val="24"/>
          <w:lang w:val="lv-LV"/>
        </w:rPr>
        <w:t>sa</w:t>
      </w:r>
      <w:r w:rsidR="00556183">
        <w:rPr>
          <w:szCs w:val="24"/>
          <w:lang w:val="lv-LV"/>
        </w:rPr>
        <w:t>īsina</w:t>
      </w:r>
      <w:r w:rsidR="00556183" w:rsidRPr="00AB2C20">
        <w:rPr>
          <w:szCs w:val="24"/>
          <w:lang w:val="lv-LV"/>
        </w:rPr>
        <w:t xml:space="preserve"> </w:t>
      </w:r>
      <w:r w:rsidRPr="00AB2C20">
        <w:rPr>
          <w:szCs w:val="24"/>
          <w:lang w:val="lv-LV"/>
        </w:rPr>
        <w:t xml:space="preserve">eliminācijas pusperiodu un </w:t>
      </w:r>
      <w:r w:rsidR="00556183">
        <w:rPr>
          <w:szCs w:val="24"/>
          <w:lang w:val="lv-LV"/>
        </w:rPr>
        <w:t>līdz ar to</w:t>
      </w:r>
      <w:r w:rsidRPr="00AB2C20">
        <w:rPr>
          <w:szCs w:val="24"/>
          <w:lang w:val="lv-LV"/>
        </w:rPr>
        <w:t xml:space="preserve"> </w:t>
      </w:r>
      <w:r w:rsidR="00556183">
        <w:rPr>
          <w:szCs w:val="24"/>
          <w:lang w:val="lv-LV"/>
        </w:rPr>
        <w:t xml:space="preserve">arī </w:t>
      </w:r>
      <w:r w:rsidRPr="00AB2C20">
        <w:rPr>
          <w:szCs w:val="24"/>
          <w:lang w:val="lv-LV"/>
        </w:rPr>
        <w:t xml:space="preserve">metamizola darbības </w:t>
      </w:r>
      <w:r w:rsidR="00556183">
        <w:rPr>
          <w:szCs w:val="24"/>
          <w:lang w:val="lv-LV"/>
        </w:rPr>
        <w:t>ilgumu</w:t>
      </w:r>
      <w:r w:rsidRPr="00AB2C20">
        <w:rPr>
          <w:szCs w:val="24"/>
          <w:lang w:val="lv-LV"/>
        </w:rPr>
        <w:t xml:space="preserve">. Vienlaicīga neiroleptisku līdzekļu, it īpaši fenotiazīna atvasinājumu lietošana var izraisīt smagu hipotermiju. Turklāt </w:t>
      </w:r>
      <w:r w:rsidR="00556183" w:rsidRPr="00AB2C20">
        <w:rPr>
          <w:szCs w:val="24"/>
          <w:lang w:val="lv-LV"/>
        </w:rPr>
        <w:t>kuņģa</w:t>
      </w:r>
      <w:r w:rsidR="00556183">
        <w:rPr>
          <w:szCs w:val="24"/>
          <w:lang w:val="lv-LV"/>
        </w:rPr>
        <w:noBreakHyphen/>
      </w:r>
      <w:r w:rsidR="00556183" w:rsidRPr="00AB2C20">
        <w:rPr>
          <w:szCs w:val="24"/>
          <w:lang w:val="lv-LV"/>
        </w:rPr>
        <w:t>zarnu trakta asiņošanas risk</w:t>
      </w:r>
      <w:r w:rsidR="00556183">
        <w:rPr>
          <w:szCs w:val="24"/>
          <w:lang w:val="lv-LV"/>
        </w:rPr>
        <w:t>u</w:t>
      </w:r>
      <w:r w:rsidR="00556183" w:rsidRPr="00AB2C20">
        <w:rPr>
          <w:szCs w:val="24"/>
          <w:lang w:val="lv-LV"/>
        </w:rPr>
        <w:t xml:space="preserve"> </w:t>
      </w:r>
      <w:r w:rsidR="00556183">
        <w:rPr>
          <w:szCs w:val="24"/>
          <w:lang w:val="lv-LV"/>
        </w:rPr>
        <w:t xml:space="preserve">palielina </w:t>
      </w:r>
      <w:r w:rsidRPr="00AB2C20">
        <w:rPr>
          <w:szCs w:val="24"/>
          <w:lang w:val="lv-LV"/>
        </w:rPr>
        <w:t xml:space="preserve">vienlaicīga glikokortikosteroīdu lietošana. </w:t>
      </w:r>
      <w:r w:rsidR="00556183">
        <w:rPr>
          <w:szCs w:val="24"/>
          <w:lang w:val="lv-LV"/>
        </w:rPr>
        <w:t>F</w:t>
      </w:r>
      <w:r w:rsidRPr="00AB2C20">
        <w:rPr>
          <w:szCs w:val="24"/>
          <w:lang w:val="lv-LV"/>
        </w:rPr>
        <w:t>urosemīda diurētiskā iedarbība</w:t>
      </w:r>
      <w:r w:rsidR="00385C35">
        <w:rPr>
          <w:szCs w:val="24"/>
          <w:lang w:val="lv-LV"/>
        </w:rPr>
        <w:t xml:space="preserve"> tiek pavāji</w:t>
      </w:r>
      <w:r w:rsidR="00556183">
        <w:rPr>
          <w:szCs w:val="24"/>
          <w:lang w:val="lv-LV"/>
        </w:rPr>
        <w:t>nāta</w:t>
      </w:r>
      <w:r w:rsidRPr="00AB2C20">
        <w:rPr>
          <w:szCs w:val="24"/>
          <w:lang w:val="lv-LV"/>
        </w:rPr>
        <w:t>.</w:t>
      </w: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Vienlaicīga citu vāju pretsāpju līdzekļu lietošana </w:t>
      </w:r>
      <w:r w:rsidR="00556183" w:rsidRPr="00AB2C20">
        <w:rPr>
          <w:szCs w:val="24"/>
          <w:lang w:val="lv-LV"/>
        </w:rPr>
        <w:t>pa</w:t>
      </w:r>
      <w:r w:rsidR="00556183">
        <w:rPr>
          <w:szCs w:val="24"/>
          <w:lang w:val="lv-LV"/>
        </w:rPr>
        <w:t>stiprina</w:t>
      </w:r>
      <w:r w:rsidR="00556183" w:rsidRPr="00AB2C20">
        <w:rPr>
          <w:szCs w:val="24"/>
          <w:lang w:val="lv-LV"/>
        </w:rPr>
        <w:t xml:space="preserve"> </w:t>
      </w:r>
      <w:r w:rsidRPr="00AB2C20">
        <w:rPr>
          <w:szCs w:val="24"/>
          <w:lang w:val="lv-LV"/>
        </w:rPr>
        <w:t>metamizola iedarbību un blakusparādību biežumu.</w:t>
      </w:r>
    </w:p>
    <w:p w:rsidR="00473450" w:rsidRPr="00AB2C20" w:rsidRDefault="00473450" w:rsidP="00CF0492">
      <w:pPr>
        <w:tabs>
          <w:tab w:val="clear" w:pos="567"/>
        </w:tabs>
        <w:spacing w:line="240" w:lineRule="auto"/>
        <w:jc w:val="both"/>
        <w:rPr>
          <w:szCs w:val="24"/>
          <w:lang w:val="lv-LV"/>
        </w:rPr>
      </w:pPr>
      <w:r w:rsidRPr="00AB2C20">
        <w:rPr>
          <w:szCs w:val="24"/>
          <w:lang w:val="lv-LV"/>
        </w:rPr>
        <w:t>Šīs veterinārās zāles var pastiprināt hinidīna un antihistamīna līdzekļu antiholīnerģisko iedarbību, kā arī β simpatomimētisko līdzekļu izraisīto tahikardiju.</w:t>
      </w:r>
    </w:p>
    <w:p w:rsidR="00473450" w:rsidRPr="00AB2C20" w:rsidRDefault="00473450">
      <w:pPr>
        <w:tabs>
          <w:tab w:val="clear" w:pos="567"/>
        </w:tabs>
        <w:spacing w:line="240" w:lineRule="auto"/>
        <w:rPr>
          <w:b/>
          <w:szCs w:val="24"/>
          <w:lang w:val="lv-LV"/>
        </w:rPr>
      </w:pPr>
    </w:p>
    <w:p w:rsidR="00473450" w:rsidRPr="00AB2C20" w:rsidRDefault="00473450">
      <w:pPr>
        <w:tabs>
          <w:tab w:val="clear" w:pos="567"/>
        </w:tabs>
        <w:spacing w:line="240" w:lineRule="auto"/>
        <w:rPr>
          <w:szCs w:val="24"/>
          <w:lang w:val="lv-LV"/>
        </w:rPr>
      </w:pPr>
      <w:r w:rsidRPr="00AB2C20">
        <w:rPr>
          <w:b/>
          <w:szCs w:val="24"/>
          <w:lang w:val="lv-LV"/>
        </w:rPr>
        <w:t>4.9</w:t>
      </w:r>
      <w:r w:rsidRPr="00AB2C20">
        <w:rPr>
          <w:b/>
          <w:szCs w:val="24"/>
          <w:lang w:val="lv-LV"/>
        </w:rPr>
        <w:tab/>
        <w:t>Devas un lietošanas veids</w:t>
      </w:r>
    </w:p>
    <w:p w:rsidR="00473450" w:rsidRPr="00AB2C20" w:rsidRDefault="00473450">
      <w:pPr>
        <w:tabs>
          <w:tab w:val="clear" w:pos="567"/>
        </w:tabs>
        <w:spacing w:line="240" w:lineRule="auto"/>
        <w:rPr>
          <w:szCs w:val="24"/>
          <w:lang w:val="lv-LV"/>
        </w:rPr>
      </w:pPr>
    </w:p>
    <w:p w:rsidR="00AF034E" w:rsidRDefault="00473450" w:rsidP="00CF0492">
      <w:pPr>
        <w:tabs>
          <w:tab w:val="clear" w:pos="567"/>
        </w:tabs>
        <w:spacing w:line="240" w:lineRule="auto"/>
        <w:jc w:val="both"/>
        <w:rPr>
          <w:szCs w:val="24"/>
          <w:lang w:val="lv-LV"/>
        </w:rPr>
      </w:pPr>
      <w:bookmarkStart w:id="7" w:name="_Hlk509905604"/>
      <w:bookmarkStart w:id="8" w:name="_Hlk528742219"/>
      <w:bookmarkStart w:id="9" w:name="_Hlk535414965"/>
      <w:r w:rsidRPr="00AB2C20">
        <w:rPr>
          <w:szCs w:val="24"/>
          <w:lang w:val="lv-LV"/>
        </w:rPr>
        <w:t>Zirgi</w:t>
      </w:r>
      <w:r w:rsidR="00556183">
        <w:rPr>
          <w:szCs w:val="24"/>
          <w:lang w:val="lv-LV"/>
        </w:rPr>
        <w:t>em</w:t>
      </w:r>
      <w:r w:rsidRPr="00AB2C20">
        <w:rPr>
          <w:szCs w:val="24"/>
          <w:lang w:val="lv-LV"/>
        </w:rPr>
        <w:t>: lēnai intravenozai lietošanai</w:t>
      </w:r>
      <w:r w:rsidR="00556183">
        <w:rPr>
          <w:szCs w:val="24"/>
          <w:lang w:val="lv-LV"/>
        </w:rPr>
        <w:t xml:space="preserve">. </w:t>
      </w:r>
      <w:bookmarkEnd w:id="7"/>
      <w:bookmarkEnd w:id="8"/>
      <w:bookmarkEnd w:id="9"/>
    </w:p>
    <w:p w:rsidR="00473450" w:rsidRPr="00AB2C20" w:rsidRDefault="00473450" w:rsidP="00CF0492">
      <w:pPr>
        <w:tabs>
          <w:tab w:val="clear" w:pos="567"/>
        </w:tabs>
        <w:spacing w:line="240" w:lineRule="auto"/>
        <w:jc w:val="both"/>
        <w:rPr>
          <w:szCs w:val="24"/>
          <w:lang w:val="lv-LV"/>
        </w:rPr>
      </w:pPr>
      <w:r w:rsidRPr="00AB2C20">
        <w:rPr>
          <w:szCs w:val="24"/>
          <w:lang w:val="lv-LV"/>
        </w:rPr>
        <w:t>Cūk</w:t>
      </w:r>
      <w:r w:rsidR="00556183">
        <w:rPr>
          <w:szCs w:val="24"/>
          <w:lang w:val="lv-LV"/>
        </w:rPr>
        <w:t>ām</w:t>
      </w:r>
      <w:r w:rsidRPr="00AB2C20">
        <w:rPr>
          <w:szCs w:val="24"/>
          <w:lang w:val="lv-LV"/>
        </w:rPr>
        <w:t>: lēnai intravenozai lietošanai vai intramuskulārai lietošanai</w:t>
      </w:r>
      <w:r w:rsidR="00556183">
        <w:rPr>
          <w:szCs w:val="24"/>
          <w:lang w:val="lv-LV"/>
        </w:rPr>
        <w:t xml:space="preserve">. </w:t>
      </w:r>
    </w:p>
    <w:p w:rsidR="00473450" w:rsidRPr="00AB2C20" w:rsidRDefault="00F17E5E" w:rsidP="00CF0492">
      <w:pPr>
        <w:tabs>
          <w:tab w:val="clear" w:pos="567"/>
        </w:tabs>
        <w:spacing w:line="240" w:lineRule="auto"/>
        <w:jc w:val="both"/>
        <w:rPr>
          <w:szCs w:val="24"/>
          <w:lang w:val="lv-LV"/>
        </w:rPr>
      </w:pPr>
      <w:bookmarkStart w:id="10" w:name="_Hlk2235682"/>
      <w:r w:rsidRPr="00AB2C20">
        <w:rPr>
          <w:szCs w:val="24"/>
          <w:lang w:val="lv-LV"/>
        </w:rPr>
        <w:t>V</w:t>
      </w:r>
      <w:r w:rsidR="00473450" w:rsidRPr="00AB2C20">
        <w:rPr>
          <w:szCs w:val="24"/>
          <w:lang w:val="lv-LV"/>
        </w:rPr>
        <w:t>ienreizēja</w:t>
      </w:r>
      <w:r w:rsidR="00AF034E">
        <w:rPr>
          <w:szCs w:val="24"/>
          <w:lang w:val="lv-LV"/>
        </w:rPr>
        <w:t>i</w:t>
      </w:r>
      <w:r w:rsidR="00473450" w:rsidRPr="00AB2C20">
        <w:rPr>
          <w:szCs w:val="24"/>
          <w:lang w:val="lv-LV"/>
        </w:rPr>
        <w:t xml:space="preserve"> injekcija</w:t>
      </w:r>
      <w:r w:rsidR="00AF034E">
        <w:rPr>
          <w:szCs w:val="24"/>
          <w:lang w:val="lv-LV"/>
        </w:rPr>
        <w:t>i</w:t>
      </w:r>
      <w:r w:rsidR="00473450" w:rsidRPr="00AB2C20">
        <w:rPr>
          <w:szCs w:val="24"/>
          <w:lang w:val="lv-LV"/>
        </w:rPr>
        <w:t>, ievadot 20</w:t>
      </w:r>
      <w:r w:rsidR="00AF034E">
        <w:rPr>
          <w:szCs w:val="24"/>
          <w:lang w:val="lv-LV"/>
        </w:rPr>
        <w:t xml:space="preserve"> </w:t>
      </w:r>
      <w:r w:rsidR="00473450" w:rsidRPr="00AB2C20">
        <w:rPr>
          <w:szCs w:val="24"/>
          <w:lang w:val="lv-LV"/>
        </w:rPr>
        <w:noBreakHyphen/>
      </w:r>
      <w:r w:rsidR="00AF034E">
        <w:rPr>
          <w:szCs w:val="24"/>
          <w:lang w:val="lv-LV"/>
        </w:rPr>
        <w:t xml:space="preserve"> </w:t>
      </w:r>
      <w:r w:rsidR="00473450" w:rsidRPr="00AB2C20">
        <w:rPr>
          <w:szCs w:val="24"/>
          <w:lang w:val="lv-LV"/>
        </w:rPr>
        <w:t>25 mg metamizola nātrija</w:t>
      </w:r>
      <w:r w:rsidR="00AF034E">
        <w:rPr>
          <w:szCs w:val="24"/>
          <w:lang w:val="lv-LV"/>
        </w:rPr>
        <w:t xml:space="preserve"> sāls</w:t>
      </w:r>
      <w:r w:rsidR="00473450" w:rsidRPr="00AB2C20">
        <w:rPr>
          <w:szCs w:val="24"/>
          <w:lang w:val="lv-LV"/>
        </w:rPr>
        <w:t xml:space="preserve"> monohidrāta/</w:t>
      </w:r>
      <w:r w:rsidR="00AF034E" w:rsidRPr="00AF034E">
        <w:rPr>
          <w:szCs w:val="24"/>
          <w:lang w:val="lv-LV"/>
        </w:rPr>
        <w:t xml:space="preserve"> </w:t>
      </w:r>
      <w:r w:rsidR="00AF034E" w:rsidRPr="00AB2C20">
        <w:rPr>
          <w:szCs w:val="24"/>
          <w:lang w:val="lv-LV"/>
        </w:rPr>
        <w:t xml:space="preserve">kg </w:t>
      </w:r>
      <w:r w:rsidR="00473450" w:rsidRPr="00AB2C20">
        <w:rPr>
          <w:szCs w:val="24"/>
          <w:lang w:val="lv-LV"/>
        </w:rPr>
        <w:t>ķermeņa sv</w:t>
      </w:r>
      <w:r w:rsidR="00AF034E">
        <w:rPr>
          <w:szCs w:val="24"/>
          <w:lang w:val="lv-LV"/>
        </w:rPr>
        <w:t>ara</w:t>
      </w:r>
      <w:r w:rsidR="00AF034E" w:rsidRPr="00AB2C20">
        <w:rPr>
          <w:szCs w:val="24"/>
          <w:lang w:val="lv-LV"/>
        </w:rPr>
        <w:t xml:space="preserve"> </w:t>
      </w:r>
      <w:r w:rsidR="00473450" w:rsidRPr="00AB2C20">
        <w:rPr>
          <w:szCs w:val="24"/>
          <w:lang w:val="lv-LV"/>
        </w:rPr>
        <w:t>un 0,16</w:t>
      </w:r>
      <w:r w:rsidR="00473450" w:rsidRPr="00AB2C20">
        <w:rPr>
          <w:szCs w:val="24"/>
          <w:lang w:val="lv-LV"/>
        </w:rPr>
        <w:noBreakHyphen/>
        <w:t>0,2 mg hioscīna butilbromīda/</w:t>
      </w:r>
      <w:r w:rsidR="00AF034E" w:rsidRPr="00AF034E">
        <w:rPr>
          <w:szCs w:val="24"/>
          <w:lang w:val="lv-LV"/>
        </w:rPr>
        <w:t xml:space="preserve"> </w:t>
      </w:r>
      <w:r w:rsidR="00AF034E" w:rsidRPr="00AB2C20">
        <w:rPr>
          <w:szCs w:val="24"/>
          <w:lang w:val="lv-LV"/>
        </w:rPr>
        <w:t xml:space="preserve">kg </w:t>
      </w:r>
      <w:r w:rsidR="00473450" w:rsidRPr="00AB2C20">
        <w:rPr>
          <w:szCs w:val="24"/>
          <w:lang w:val="lv-LV"/>
        </w:rPr>
        <w:t>ķermeņa sv</w:t>
      </w:r>
      <w:r w:rsidR="00AF034E">
        <w:rPr>
          <w:szCs w:val="24"/>
          <w:lang w:val="lv-LV"/>
        </w:rPr>
        <w:t>ara</w:t>
      </w:r>
      <w:r w:rsidR="00473450" w:rsidRPr="00AB2C20">
        <w:rPr>
          <w:szCs w:val="24"/>
          <w:lang w:val="lv-LV"/>
        </w:rPr>
        <w:t>, t.i., 4</w:t>
      </w:r>
      <w:r w:rsidR="00473450" w:rsidRPr="00AB2C20">
        <w:rPr>
          <w:szCs w:val="24"/>
          <w:lang w:val="lv-LV"/>
        </w:rPr>
        <w:noBreakHyphen/>
        <w:t>5 ml uz 100 kg vienu reizi.</w:t>
      </w:r>
    </w:p>
    <w:bookmarkEnd w:id="10"/>
    <w:p w:rsidR="00473450" w:rsidRPr="00AB2C20" w:rsidRDefault="00473450" w:rsidP="00CF0492">
      <w:pPr>
        <w:tabs>
          <w:tab w:val="clear" w:pos="567"/>
        </w:tabs>
        <w:spacing w:line="240" w:lineRule="auto"/>
        <w:jc w:val="both"/>
        <w:rPr>
          <w:szCs w:val="24"/>
          <w:lang w:val="lv-LV"/>
        </w:rPr>
      </w:pPr>
      <w:r w:rsidRPr="00AB2C20">
        <w:rPr>
          <w:szCs w:val="24"/>
          <w:lang w:val="lv-LV"/>
        </w:rPr>
        <w:t xml:space="preserve">Cūkām </w:t>
      </w:r>
      <w:r w:rsidR="00AF034E">
        <w:rPr>
          <w:szCs w:val="24"/>
          <w:lang w:val="lv-LV"/>
        </w:rPr>
        <w:t>neievadīt vairāk</w:t>
      </w:r>
      <w:r w:rsidRPr="00AB2C20">
        <w:rPr>
          <w:szCs w:val="24"/>
          <w:lang w:val="lv-LV"/>
        </w:rPr>
        <w:t xml:space="preserve"> </w:t>
      </w:r>
      <w:r w:rsidR="00AF034E">
        <w:rPr>
          <w:szCs w:val="24"/>
          <w:lang w:val="lv-LV"/>
        </w:rPr>
        <w:t xml:space="preserve">par </w:t>
      </w:r>
      <w:r w:rsidRPr="00AB2C20">
        <w:rPr>
          <w:szCs w:val="24"/>
          <w:lang w:val="lv-LV"/>
        </w:rPr>
        <w:t>5 ml vienā injekcijas vietā.</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Liellopi</w:t>
      </w:r>
      <w:r w:rsidR="00AF034E">
        <w:rPr>
          <w:szCs w:val="24"/>
          <w:lang w:val="lv-LV"/>
        </w:rPr>
        <w:t>em</w:t>
      </w:r>
      <w:r w:rsidRPr="00AB2C20">
        <w:rPr>
          <w:szCs w:val="24"/>
          <w:lang w:val="lv-LV"/>
        </w:rPr>
        <w:t>: lēnai intravenozai lietošanai vai intramuskulārai lietošanai</w:t>
      </w:r>
      <w:r w:rsidR="009D0F03">
        <w:rPr>
          <w:szCs w:val="24"/>
          <w:lang w:val="lv-LV"/>
        </w:rPr>
        <w:t>.</w:t>
      </w: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Līdz divām reizēm dienā trīs dienas </w:t>
      </w:r>
      <w:r w:rsidR="00B74187">
        <w:rPr>
          <w:szCs w:val="24"/>
          <w:lang w:val="lv-LV"/>
        </w:rPr>
        <w:t>pēc kārtas</w:t>
      </w:r>
      <w:r w:rsidRPr="00AB2C20">
        <w:rPr>
          <w:szCs w:val="24"/>
          <w:lang w:val="lv-LV"/>
        </w:rPr>
        <w:t>, ievadot 20</w:t>
      </w:r>
      <w:r w:rsidRPr="00AB2C20">
        <w:rPr>
          <w:szCs w:val="24"/>
          <w:lang w:val="lv-LV"/>
        </w:rPr>
        <w:noBreakHyphen/>
        <w:t xml:space="preserve">25 mg metamizola nātrija </w:t>
      </w:r>
      <w:r w:rsidR="00B74187">
        <w:rPr>
          <w:szCs w:val="24"/>
          <w:lang w:val="lv-LV"/>
        </w:rPr>
        <w:t xml:space="preserve">sāls </w:t>
      </w:r>
      <w:r w:rsidRPr="00AB2C20">
        <w:rPr>
          <w:szCs w:val="24"/>
          <w:lang w:val="lv-LV"/>
        </w:rPr>
        <w:t>monohidrāta/</w:t>
      </w:r>
      <w:r w:rsidR="00B74187" w:rsidRPr="00B74187">
        <w:rPr>
          <w:szCs w:val="24"/>
          <w:lang w:val="lv-LV"/>
        </w:rPr>
        <w:t xml:space="preserve"> </w:t>
      </w:r>
      <w:r w:rsidR="00B74187" w:rsidRPr="00AB2C20">
        <w:rPr>
          <w:szCs w:val="24"/>
          <w:lang w:val="lv-LV"/>
        </w:rPr>
        <w:t xml:space="preserve">kg </w:t>
      </w:r>
      <w:r w:rsidRPr="00AB2C20">
        <w:rPr>
          <w:szCs w:val="24"/>
          <w:lang w:val="lv-LV"/>
        </w:rPr>
        <w:t>ķermeņa sv</w:t>
      </w:r>
      <w:r w:rsidR="00B74187">
        <w:rPr>
          <w:szCs w:val="24"/>
          <w:lang w:val="lv-LV"/>
        </w:rPr>
        <w:t>ara</w:t>
      </w:r>
      <w:r w:rsidR="00B74187" w:rsidRPr="00AB2C20">
        <w:rPr>
          <w:szCs w:val="24"/>
          <w:lang w:val="lv-LV"/>
        </w:rPr>
        <w:t xml:space="preserve"> </w:t>
      </w:r>
      <w:r w:rsidRPr="00AB2C20">
        <w:rPr>
          <w:szCs w:val="24"/>
          <w:lang w:val="lv-LV"/>
        </w:rPr>
        <w:t>un 0,16</w:t>
      </w:r>
      <w:r w:rsidRPr="00AB2C20">
        <w:rPr>
          <w:szCs w:val="24"/>
          <w:lang w:val="lv-LV"/>
        </w:rPr>
        <w:noBreakHyphen/>
        <w:t>0,2 mg hioscīna butilbromīda/</w:t>
      </w:r>
      <w:r w:rsidR="00B74187" w:rsidRPr="00B74187">
        <w:rPr>
          <w:szCs w:val="24"/>
          <w:lang w:val="lv-LV"/>
        </w:rPr>
        <w:t xml:space="preserve"> </w:t>
      </w:r>
      <w:r w:rsidR="00B74187" w:rsidRPr="00AB2C20">
        <w:rPr>
          <w:szCs w:val="24"/>
          <w:lang w:val="lv-LV"/>
        </w:rPr>
        <w:t xml:space="preserve">kg </w:t>
      </w:r>
      <w:r w:rsidRPr="00AB2C20">
        <w:rPr>
          <w:szCs w:val="24"/>
          <w:lang w:val="lv-LV"/>
        </w:rPr>
        <w:t>ķermeņa sv</w:t>
      </w:r>
      <w:r w:rsidR="00B74187">
        <w:rPr>
          <w:szCs w:val="24"/>
          <w:lang w:val="lv-LV"/>
        </w:rPr>
        <w:t>ara</w:t>
      </w:r>
      <w:r w:rsidRPr="00AB2C20">
        <w:rPr>
          <w:szCs w:val="24"/>
          <w:lang w:val="lv-LV"/>
        </w:rPr>
        <w:t>, t.i., 4</w:t>
      </w:r>
      <w:r w:rsidRPr="00AB2C20">
        <w:rPr>
          <w:szCs w:val="24"/>
          <w:lang w:val="lv-LV"/>
        </w:rPr>
        <w:noBreakHyphen/>
        <w:t xml:space="preserve">5 ml uz 100 kg divas reizes dienā līdz trīs dienām </w:t>
      </w:r>
      <w:r w:rsidR="00B74187">
        <w:rPr>
          <w:szCs w:val="24"/>
          <w:lang w:val="lv-LV"/>
        </w:rPr>
        <w:t>pēc kārtas</w:t>
      </w:r>
      <w:r w:rsidRPr="00AB2C20">
        <w:rPr>
          <w:szCs w:val="24"/>
          <w:lang w:val="lv-LV"/>
        </w:rPr>
        <w:t>.</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Suņi</w:t>
      </w:r>
      <w:r w:rsidR="00B74187">
        <w:rPr>
          <w:szCs w:val="24"/>
          <w:lang w:val="lv-LV"/>
        </w:rPr>
        <w:t>em</w:t>
      </w:r>
      <w:r w:rsidRPr="00AB2C20">
        <w:rPr>
          <w:szCs w:val="24"/>
          <w:lang w:val="lv-LV"/>
        </w:rPr>
        <w:t xml:space="preserve">: </w:t>
      </w:r>
      <w:r w:rsidR="009D0F03" w:rsidRPr="00AB2C20">
        <w:rPr>
          <w:szCs w:val="24"/>
          <w:lang w:val="lv-LV"/>
        </w:rPr>
        <w:t xml:space="preserve">lēnai </w:t>
      </w:r>
      <w:r w:rsidRPr="00AB2C20">
        <w:rPr>
          <w:szCs w:val="24"/>
          <w:lang w:val="lv-LV"/>
        </w:rPr>
        <w:t>intravenozai</w:t>
      </w:r>
      <w:r w:rsidR="009D0F03">
        <w:rPr>
          <w:szCs w:val="24"/>
          <w:lang w:val="lv-LV"/>
        </w:rPr>
        <w:t xml:space="preserve"> </w:t>
      </w:r>
      <w:r w:rsidR="00C048BB" w:rsidRPr="00AB2C20">
        <w:rPr>
          <w:szCs w:val="24"/>
          <w:lang w:val="lv-LV"/>
        </w:rPr>
        <w:t>vai intramuskulārai lietošanai</w:t>
      </w:r>
      <w:r w:rsidR="009D0F03">
        <w:rPr>
          <w:szCs w:val="24"/>
          <w:lang w:val="lv-LV"/>
        </w:rPr>
        <w:t>.</w:t>
      </w:r>
    </w:p>
    <w:p w:rsidR="00473450" w:rsidRPr="00AB2C20" w:rsidRDefault="00C048BB" w:rsidP="00CF0492">
      <w:pPr>
        <w:tabs>
          <w:tab w:val="clear" w:pos="567"/>
        </w:tabs>
        <w:spacing w:line="240" w:lineRule="auto"/>
        <w:jc w:val="both"/>
        <w:rPr>
          <w:szCs w:val="24"/>
          <w:lang w:val="lv-LV"/>
        </w:rPr>
      </w:pPr>
      <w:r w:rsidRPr="00AB2C20">
        <w:rPr>
          <w:szCs w:val="24"/>
          <w:lang w:val="lv-LV"/>
        </w:rPr>
        <w:t>V</w:t>
      </w:r>
      <w:r w:rsidR="00473450" w:rsidRPr="00AB2C20">
        <w:rPr>
          <w:szCs w:val="24"/>
          <w:lang w:val="lv-LV"/>
        </w:rPr>
        <w:t>ienreizēja</w:t>
      </w:r>
      <w:r w:rsidR="009D0F03">
        <w:rPr>
          <w:szCs w:val="24"/>
          <w:lang w:val="lv-LV"/>
        </w:rPr>
        <w:t>i</w:t>
      </w:r>
      <w:r w:rsidR="00473450" w:rsidRPr="00AB2C20">
        <w:rPr>
          <w:szCs w:val="24"/>
          <w:lang w:val="lv-LV"/>
        </w:rPr>
        <w:t xml:space="preserve"> injekcija</w:t>
      </w:r>
      <w:r w:rsidR="009D0F03">
        <w:rPr>
          <w:szCs w:val="24"/>
          <w:lang w:val="lv-LV"/>
        </w:rPr>
        <w:t>i</w:t>
      </w:r>
      <w:r w:rsidR="00473450" w:rsidRPr="00AB2C20">
        <w:rPr>
          <w:szCs w:val="24"/>
          <w:lang w:val="lv-LV"/>
        </w:rPr>
        <w:t>, ievadot 50 mg metamizola nātrija monohidrāta/</w:t>
      </w:r>
      <w:r w:rsidR="009D0F03" w:rsidRPr="009D0F03">
        <w:rPr>
          <w:szCs w:val="24"/>
          <w:lang w:val="lv-LV"/>
        </w:rPr>
        <w:t xml:space="preserve"> </w:t>
      </w:r>
      <w:r w:rsidR="009D0F03" w:rsidRPr="00AB2C20">
        <w:rPr>
          <w:szCs w:val="24"/>
          <w:lang w:val="lv-LV"/>
        </w:rPr>
        <w:t xml:space="preserve">kg </w:t>
      </w:r>
      <w:r w:rsidR="00473450" w:rsidRPr="00AB2C20">
        <w:rPr>
          <w:szCs w:val="24"/>
          <w:lang w:val="lv-LV"/>
        </w:rPr>
        <w:t>ķermeņa sv</w:t>
      </w:r>
      <w:r w:rsidR="009D0F03">
        <w:rPr>
          <w:szCs w:val="24"/>
          <w:lang w:val="lv-LV"/>
        </w:rPr>
        <w:t>ara</w:t>
      </w:r>
      <w:r w:rsidR="009D0F03" w:rsidRPr="00AB2C20">
        <w:rPr>
          <w:szCs w:val="24"/>
          <w:lang w:val="lv-LV"/>
        </w:rPr>
        <w:t xml:space="preserve"> </w:t>
      </w:r>
      <w:r w:rsidR="00473450" w:rsidRPr="00AB2C20">
        <w:rPr>
          <w:szCs w:val="24"/>
          <w:lang w:val="lv-LV"/>
        </w:rPr>
        <w:t>un 0,4 mg hioscīna butilbromīda/</w:t>
      </w:r>
      <w:r w:rsidR="009D0F03" w:rsidRPr="009D0F03">
        <w:rPr>
          <w:szCs w:val="24"/>
          <w:lang w:val="lv-LV"/>
        </w:rPr>
        <w:t xml:space="preserve"> </w:t>
      </w:r>
      <w:r w:rsidR="009D0F03" w:rsidRPr="00AB2C20">
        <w:rPr>
          <w:szCs w:val="24"/>
          <w:lang w:val="lv-LV"/>
        </w:rPr>
        <w:t xml:space="preserve">kg </w:t>
      </w:r>
      <w:r w:rsidR="00473450" w:rsidRPr="00AB2C20">
        <w:rPr>
          <w:szCs w:val="24"/>
          <w:lang w:val="lv-LV"/>
        </w:rPr>
        <w:t>ķermeņa sv</w:t>
      </w:r>
      <w:r w:rsidR="009D0F03">
        <w:rPr>
          <w:szCs w:val="24"/>
          <w:lang w:val="lv-LV"/>
        </w:rPr>
        <w:t>ara</w:t>
      </w:r>
      <w:r w:rsidR="00473450" w:rsidRPr="00AB2C20">
        <w:rPr>
          <w:szCs w:val="24"/>
          <w:lang w:val="lv-LV"/>
        </w:rPr>
        <w:t xml:space="preserve">, t.i., 0,5 ml uz 5 kg vienu reizi. </w:t>
      </w:r>
      <w:r w:rsidR="009D0F03">
        <w:rPr>
          <w:szCs w:val="24"/>
          <w:lang w:val="lv-LV"/>
        </w:rPr>
        <w:t>J</w:t>
      </w:r>
      <w:r w:rsidR="009D0F03" w:rsidRPr="00AB2C20">
        <w:rPr>
          <w:szCs w:val="24"/>
          <w:lang w:val="lv-LV"/>
        </w:rPr>
        <w:t>a nepieciešams</w:t>
      </w:r>
      <w:r w:rsidR="00F10999">
        <w:rPr>
          <w:szCs w:val="24"/>
          <w:lang w:val="lv-LV"/>
        </w:rPr>
        <w:t>,</w:t>
      </w:r>
      <w:r w:rsidR="009D0F03" w:rsidRPr="00AB2C20">
        <w:rPr>
          <w:szCs w:val="24"/>
          <w:lang w:val="lv-LV"/>
        </w:rPr>
        <w:t xml:space="preserve"> </w:t>
      </w:r>
      <w:r w:rsidR="009D0F03">
        <w:rPr>
          <w:szCs w:val="24"/>
          <w:lang w:val="lv-LV"/>
        </w:rPr>
        <w:t>d</w:t>
      </w:r>
      <w:r w:rsidR="009D0F03" w:rsidRPr="00AB2C20">
        <w:rPr>
          <w:szCs w:val="24"/>
          <w:lang w:val="lv-LV"/>
        </w:rPr>
        <w:t xml:space="preserve">evu </w:t>
      </w:r>
      <w:r w:rsidR="00473450" w:rsidRPr="00AB2C20">
        <w:rPr>
          <w:szCs w:val="24"/>
          <w:lang w:val="lv-LV"/>
        </w:rPr>
        <w:t>var atkārtoti ievadīt pēc 24 stundām</w:t>
      </w:r>
      <w:r w:rsidR="009D0F03">
        <w:rPr>
          <w:szCs w:val="24"/>
          <w:lang w:val="lv-LV"/>
        </w:rPr>
        <w:t xml:space="preserve">. </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Aizbāzni caurdurt </w:t>
      </w:r>
      <w:r w:rsidR="009D0F03">
        <w:rPr>
          <w:szCs w:val="24"/>
          <w:lang w:val="lv-LV"/>
        </w:rPr>
        <w:t xml:space="preserve">ne vairāk kā </w:t>
      </w:r>
      <w:r w:rsidRPr="00AB2C20">
        <w:rPr>
          <w:szCs w:val="24"/>
          <w:lang w:val="lv-LV"/>
        </w:rPr>
        <w:t>25 reiz</w:t>
      </w:r>
      <w:r w:rsidR="009D0F03">
        <w:rPr>
          <w:szCs w:val="24"/>
          <w:lang w:val="lv-LV"/>
        </w:rPr>
        <w:t>es</w:t>
      </w:r>
      <w:r w:rsidRPr="00AB2C20">
        <w:rPr>
          <w:szCs w:val="24"/>
          <w:lang w:val="lv-LV"/>
        </w:rPr>
        <w:t>.</w:t>
      </w:r>
    </w:p>
    <w:p w:rsidR="00473450" w:rsidRPr="00AB2C20" w:rsidRDefault="00473450">
      <w:pPr>
        <w:tabs>
          <w:tab w:val="clear" w:pos="567"/>
        </w:tabs>
        <w:spacing w:line="240" w:lineRule="auto"/>
        <w:rPr>
          <w:szCs w:val="24"/>
          <w:lang w:val="lv-LV"/>
        </w:rPr>
      </w:pPr>
    </w:p>
    <w:p w:rsidR="00473450" w:rsidRPr="00AB2C20" w:rsidRDefault="00473450" w:rsidP="00CF0492">
      <w:pPr>
        <w:tabs>
          <w:tab w:val="clear" w:pos="567"/>
        </w:tabs>
        <w:spacing w:line="240" w:lineRule="auto"/>
        <w:jc w:val="both"/>
        <w:rPr>
          <w:b/>
          <w:szCs w:val="24"/>
          <w:lang w:val="lv-LV"/>
        </w:rPr>
      </w:pPr>
      <w:r w:rsidRPr="00AB2C20">
        <w:rPr>
          <w:b/>
          <w:szCs w:val="24"/>
          <w:lang w:val="lv-LV"/>
        </w:rPr>
        <w:t>4.10</w:t>
      </w:r>
      <w:r w:rsidRPr="00AB2C20">
        <w:rPr>
          <w:b/>
          <w:szCs w:val="24"/>
          <w:lang w:val="lv-LV"/>
        </w:rPr>
        <w:tab/>
        <w:t>Pārdozēšana (simptomi, rīcība ārkārtas situācijā, antidoti), ja nepieciešams</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11" w:name="_Hlk528742040"/>
      <w:bookmarkStart w:id="12" w:name="_Hlk528582972"/>
      <w:r w:rsidRPr="00AB2C20">
        <w:rPr>
          <w:szCs w:val="24"/>
          <w:lang w:val="lv-LV"/>
        </w:rPr>
        <w:t>Pārdozēšanas gadījumā var rasties atropīna intoksikācijai raksturīgie simptomi (gļotādu sausums, midriāze, tahikardija) hioscīna butilbromīda parasimpatolītiskās aktivitātes dēļ.</w:t>
      </w:r>
    </w:p>
    <w:p w:rsidR="00473450" w:rsidRPr="00AB2C20" w:rsidRDefault="00473450" w:rsidP="00CF0492">
      <w:pPr>
        <w:tabs>
          <w:tab w:val="clear" w:pos="567"/>
        </w:tabs>
        <w:spacing w:line="240" w:lineRule="auto"/>
        <w:jc w:val="both"/>
        <w:rPr>
          <w:szCs w:val="24"/>
          <w:lang w:val="lv-LV"/>
        </w:rPr>
      </w:pPr>
      <w:bookmarkStart w:id="13" w:name="_Hlk535402247"/>
      <w:bookmarkStart w:id="14" w:name="_Hlk535414997"/>
      <w:bookmarkEnd w:id="11"/>
      <w:bookmarkEnd w:id="12"/>
      <w:r w:rsidRPr="00AB2C20">
        <w:rPr>
          <w:szCs w:val="24"/>
          <w:lang w:val="lv-LV"/>
        </w:rPr>
        <w:t xml:space="preserve">Pārdozēšanas gadījumā </w:t>
      </w:r>
      <w:r w:rsidR="00893E48">
        <w:rPr>
          <w:szCs w:val="24"/>
          <w:lang w:val="lv-LV"/>
        </w:rPr>
        <w:t>zāļu ievadīšana ir</w:t>
      </w:r>
      <w:r w:rsidR="00893E48" w:rsidRPr="00AB2C20">
        <w:rPr>
          <w:szCs w:val="24"/>
          <w:lang w:val="lv-LV"/>
        </w:rPr>
        <w:t xml:space="preserve"> </w:t>
      </w:r>
      <w:r w:rsidRPr="00AB2C20">
        <w:rPr>
          <w:szCs w:val="24"/>
          <w:lang w:val="lv-LV"/>
        </w:rPr>
        <w:t>jāpārtrauc. Kā hioscīna butilbromīda antidotus ieteicams lietot parasimpatomimētiskos līdzekļus, piemēram, fizostigmīnu un neostigmīnu. Specifisks metamizola nātrija</w:t>
      </w:r>
      <w:r w:rsidR="00893E48">
        <w:rPr>
          <w:szCs w:val="24"/>
          <w:lang w:val="lv-LV"/>
        </w:rPr>
        <w:t xml:space="preserve"> sāli</w:t>
      </w:r>
      <w:r w:rsidR="00385C35">
        <w:rPr>
          <w:szCs w:val="24"/>
          <w:lang w:val="lv-LV"/>
        </w:rPr>
        <w:t>s</w:t>
      </w:r>
      <w:r w:rsidRPr="00AB2C20">
        <w:rPr>
          <w:szCs w:val="24"/>
          <w:lang w:val="lv-LV"/>
        </w:rPr>
        <w:t xml:space="preserve"> </w:t>
      </w:r>
      <w:r w:rsidR="00385C35" w:rsidRPr="00AB2C20">
        <w:rPr>
          <w:szCs w:val="24"/>
          <w:lang w:val="lv-LV"/>
        </w:rPr>
        <w:t>antidots</w:t>
      </w:r>
      <w:r w:rsidR="00385C35" w:rsidRPr="00AB2C20" w:rsidDel="00893E48">
        <w:rPr>
          <w:szCs w:val="24"/>
          <w:lang w:val="lv-LV"/>
        </w:rPr>
        <w:t xml:space="preserve"> </w:t>
      </w:r>
      <w:r w:rsidRPr="00AB2C20">
        <w:rPr>
          <w:szCs w:val="24"/>
          <w:lang w:val="lv-LV"/>
        </w:rPr>
        <w:t>nav pieejams. Tāpēc pārdozēšanas gadījumā jāsāk simptomātiska ārstēšana.</w:t>
      </w:r>
    </w:p>
    <w:bookmarkEnd w:id="13"/>
    <w:bookmarkEnd w:id="14"/>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4.11</w:t>
      </w:r>
      <w:r w:rsidRPr="00AB2C20">
        <w:rPr>
          <w:b/>
          <w:szCs w:val="24"/>
          <w:lang w:val="lv-LV"/>
        </w:rPr>
        <w:tab/>
        <w:t>Ierobežojumu periods(-i) dzīvnieku produkcijas izmantošanā</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15" w:name="_Hlk528742088"/>
      <w:r w:rsidRPr="00AB2C20">
        <w:rPr>
          <w:szCs w:val="24"/>
          <w:lang w:val="lv-LV"/>
        </w:rPr>
        <w:t>Liellopi</w:t>
      </w:r>
      <w:r w:rsidR="00893E48">
        <w:rPr>
          <w:szCs w:val="24"/>
          <w:lang w:val="lv-LV"/>
        </w:rPr>
        <w:t>:</w:t>
      </w:r>
    </w:p>
    <w:bookmarkEnd w:id="15"/>
    <w:p w:rsidR="00473450" w:rsidRPr="00AB2C20" w:rsidRDefault="00473450" w:rsidP="00CF0492">
      <w:pPr>
        <w:tabs>
          <w:tab w:val="clear" w:pos="567"/>
        </w:tabs>
        <w:spacing w:line="240" w:lineRule="auto"/>
        <w:jc w:val="both"/>
        <w:rPr>
          <w:szCs w:val="24"/>
          <w:lang w:val="lv-LV"/>
        </w:rPr>
      </w:pPr>
      <w:r w:rsidRPr="00AB2C20">
        <w:rPr>
          <w:szCs w:val="24"/>
          <w:lang w:val="lv-LV"/>
        </w:rPr>
        <w:t>Gaļai un blakusproduktiem: 18 dienas pēc intravenozas lietošanas</w:t>
      </w:r>
      <w:r w:rsidR="00893E48">
        <w:rPr>
          <w:szCs w:val="24"/>
          <w:lang w:val="lv-LV"/>
        </w:rPr>
        <w:t xml:space="preserve">. </w:t>
      </w:r>
    </w:p>
    <w:p w:rsidR="00473450" w:rsidRPr="00AB2C20" w:rsidRDefault="00473450" w:rsidP="00CF0492">
      <w:pPr>
        <w:tabs>
          <w:tab w:val="clear" w:pos="567"/>
        </w:tabs>
        <w:spacing w:line="240" w:lineRule="auto"/>
        <w:jc w:val="both"/>
        <w:rPr>
          <w:szCs w:val="24"/>
          <w:lang w:val="lv-LV"/>
        </w:rPr>
      </w:pPr>
      <w:r w:rsidRPr="00AB2C20">
        <w:rPr>
          <w:szCs w:val="24"/>
          <w:lang w:val="lv-LV"/>
        </w:rPr>
        <w:t>Gaļai un blakusproduktiem: 28 dienas pēc intramuskulāras lietošanas</w:t>
      </w:r>
      <w:r w:rsidR="00893E48">
        <w:rPr>
          <w:szCs w:val="24"/>
          <w:lang w:val="lv-LV"/>
        </w:rPr>
        <w:t xml:space="preserve">. </w:t>
      </w: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Nav reģistrēts lietošanai dzīvniekiem, kuru pienu paredzēts izmantot cilvēku uzturā. </w:t>
      </w:r>
    </w:p>
    <w:p w:rsidR="00473450" w:rsidRPr="00AB2C20" w:rsidRDefault="00473450" w:rsidP="00CF0492">
      <w:pPr>
        <w:tabs>
          <w:tab w:val="clear" w:pos="567"/>
        </w:tabs>
        <w:spacing w:line="240" w:lineRule="auto"/>
        <w:jc w:val="both"/>
        <w:rPr>
          <w:szCs w:val="24"/>
          <w:lang w:val="lv-LV"/>
        </w:rPr>
      </w:pPr>
      <w:r w:rsidRPr="00AB2C20">
        <w:rPr>
          <w:szCs w:val="24"/>
          <w:lang w:val="lv-LV"/>
        </w:rPr>
        <w:t>Nelietot grūsniem dzīvniekiem 2 mēnešus pirms gaidāmajām dzemdībām, ja šo dzīvnieku pienu paredzēts izmantot cilvēku uzturā.</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Zirgi</w:t>
      </w:r>
      <w:r w:rsidR="00893E48">
        <w:rPr>
          <w:szCs w:val="24"/>
          <w:lang w:val="lv-LV"/>
        </w:rPr>
        <w:t xml:space="preserve">: </w:t>
      </w:r>
    </w:p>
    <w:p w:rsidR="00473450" w:rsidRPr="00AB2C20" w:rsidRDefault="00473450" w:rsidP="00CF0492">
      <w:pPr>
        <w:tabs>
          <w:tab w:val="clear" w:pos="567"/>
        </w:tabs>
        <w:spacing w:line="240" w:lineRule="auto"/>
        <w:jc w:val="both"/>
        <w:rPr>
          <w:szCs w:val="24"/>
          <w:lang w:val="lv-LV"/>
        </w:rPr>
      </w:pPr>
      <w:r w:rsidRPr="00AB2C20">
        <w:rPr>
          <w:szCs w:val="24"/>
          <w:lang w:val="lv-LV"/>
        </w:rPr>
        <w:t>Gaļai un blakusproduktiem: 15 dienas</w:t>
      </w:r>
      <w:r w:rsidR="00893E48">
        <w:rPr>
          <w:szCs w:val="24"/>
          <w:lang w:val="lv-LV"/>
        </w:rPr>
        <w:t>.</w:t>
      </w: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Nav reģistrēts lietošanai dzīvniekiem, kuru pienu paredzēts izmantot cilvēku uzturā. </w:t>
      </w:r>
    </w:p>
    <w:p w:rsidR="00473450" w:rsidRPr="00AB2C20" w:rsidRDefault="00473450" w:rsidP="00CF0492">
      <w:pPr>
        <w:tabs>
          <w:tab w:val="clear" w:pos="567"/>
        </w:tabs>
        <w:spacing w:line="240" w:lineRule="auto"/>
        <w:jc w:val="both"/>
        <w:rPr>
          <w:szCs w:val="24"/>
          <w:lang w:val="lv-LV"/>
        </w:rPr>
      </w:pPr>
      <w:r w:rsidRPr="00AB2C20">
        <w:rPr>
          <w:szCs w:val="24"/>
          <w:lang w:val="lv-LV"/>
        </w:rPr>
        <w:t>Nelietot grūsniem dzīvniekiem 2 mēnešus pirms gaidāmajām dzemdībām, ja šo dzīvnieku pienu paredzēts izmantot cilvēku uzturā.</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lastRenderedPageBreak/>
        <w:t>Cūkas</w:t>
      </w:r>
      <w:r w:rsidR="00893E48">
        <w:rPr>
          <w:szCs w:val="24"/>
          <w:lang w:val="lv-LV"/>
        </w:rPr>
        <w:t>:</w:t>
      </w:r>
    </w:p>
    <w:p w:rsidR="00473450" w:rsidRPr="00AB2C20" w:rsidRDefault="00473450" w:rsidP="00CF0492">
      <w:pPr>
        <w:tabs>
          <w:tab w:val="clear" w:pos="567"/>
        </w:tabs>
        <w:spacing w:line="240" w:lineRule="auto"/>
        <w:jc w:val="both"/>
        <w:rPr>
          <w:szCs w:val="24"/>
          <w:lang w:val="lv-LV"/>
        </w:rPr>
      </w:pPr>
      <w:r w:rsidRPr="00AB2C20">
        <w:rPr>
          <w:szCs w:val="24"/>
          <w:lang w:val="lv-LV"/>
        </w:rPr>
        <w:t>Gaļai un blakusproduktiem: 15 dienas</w:t>
      </w:r>
      <w:r w:rsidR="00774B39">
        <w:rPr>
          <w:szCs w:val="24"/>
          <w:lang w:val="lv-LV"/>
        </w:rPr>
        <w:t xml:space="preserve">. </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keepNext/>
        <w:keepLines/>
        <w:tabs>
          <w:tab w:val="clear" w:pos="567"/>
        </w:tabs>
        <w:spacing w:line="240" w:lineRule="auto"/>
        <w:jc w:val="both"/>
        <w:rPr>
          <w:szCs w:val="24"/>
          <w:lang w:val="lv-LV"/>
        </w:rPr>
      </w:pPr>
      <w:r w:rsidRPr="00AB2C20">
        <w:rPr>
          <w:b/>
          <w:szCs w:val="24"/>
          <w:lang w:val="lv-LV"/>
        </w:rPr>
        <w:t>5.</w:t>
      </w:r>
      <w:r w:rsidRPr="00AB2C20">
        <w:rPr>
          <w:b/>
          <w:szCs w:val="24"/>
          <w:lang w:val="lv-LV"/>
        </w:rPr>
        <w:tab/>
        <w:t>FARMAKOLOĢISKĀS ĪPAŠĪBAS</w:t>
      </w:r>
    </w:p>
    <w:p w:rsidR="00473450" w:rsidRPr="00AB2C20" w:rsidRDefault="00473450" w:rsidP="00CF0492">
      <w:pPr>
        <w:keepNext/>
        <w:keepLines/>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16" w:name="_Hlk528588165"/>
      <w:r w:rsidRPr="00AB2C20">
        <w:rPr>
          <w:szCs w:val="24"/>
          <w:lang w:val="lv-LV"/>
        </w:rPr>
        <w:t>Farmakoterapeitiskā grupa: zāles funkcionālu kuņģa un zarnu trakta traucējumu ārstēšanai,</w:t>
      </w:r>
      <w:r w:rsidR="00F00DB1">
        <w:rPr>
          <w:szCs w:val="24"/>
          <w:lang w:val="lv-LV"/>
        </w:rPr>
        <w:t xml:space="preserve"> </w:t>
      </w:r>
      <w:r w:rsidRPr="00AB2C20">
        <w:rPr>
          <w:szCs w:val="24"/>
          <w:lang w:val="lv-LV"/>
        </w:rPr>
        <w:t>vilkoga</w:t>
      </w:r>
      <w:r w:rsidR="00774B39" w:rsidRPr="00AB2C20">
        <w:rPr>
          <w:szCs w:val="24"/>
          <w:lang w:val="lv-LV"/>
        </w:rPr>
        <w:t xml:space="preserve"> </w:t>
      </w:r>
      <w:r w:rsidRPr="00AB2C20">
        <w:rPr>
          <w:szCs w:val="24"/>
          <w:lang w:val="lv-LV"/>
        </w:rPr>
        <w:t>un tās atvasinājumi kombinācijā ar pretsāpju līdzekļiem,</w:t>
      </w:r>
      <w:r w:rsidR="00F00DB1">
        <w:rPr>
          <w:szCs w:val="24"/>
          <w:lang w:val="lv-LV"/>
        </w:rPr>
        <w:t xml:space="preserve"> </w:t>
      </w:r>
      <w:r w:rsidRPr="00AB2C20">
        <w:rPr>
          <w:szCs w:val="24"/>
          <w:lang w:val="lv-LV"/>
        </w:rPr>
        <w:t>butilskopolamīns un pretsāpju līdzekļi</w:t>
      </w:r>
      <w:r w:rsidR="00774B39">
        <w:rPr>
          <w:szCs w:val="24"/>
          <w:lang w:val="lv-LV"/>
        </w:rPr>
        <w:t>.</w:t>
      </w:r>
    </w:p>
    <w:bookmarkEnd w:id="16"/>
    <w:p w:rsidR="00473450" w:rsidRPr="00AB2C20" w:rsidRDefault="00473450" w:rsidP="00CF0492">
      <w:pPr>
        <w:tabs>
          <w:tab w:val="clear" w:pos="567"/>
        </w:tabs>
        <w:spacing w:line="240" w:lineRule="auto"/>
        <w:jc w:val="both"/>
        <w:rPr>
          <w:szCs w:val="24"/>
          <w:lang w:val="lv-LV"/>
        </w:rPr>
      </w:pPr>
      <w:r w:rsidRPr="00AB2C20">
        <w:rPr>
          <w:szCs w:val="24"/>
          <w:lang w:val="lv-LV"/>
        </w:rPr>
        <w:t>ATĶ vet kods: QA03DB04.</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b/>
          <w:szCs w:val="24"/>
          <w:lang w:val="lv-LV"/>
        </w:rPr>
      </w:pPr>
      <w:r w:rsidRPr="00AB2C20">
        <w:rPr>
          <w:b/>
          <w:szCs w:val="24"/>
          <w:lang w:val="lv-LV"/>
        </w:rPr>
        <w:t>5.1</w:t>
      </w:r>
      <w:r w:rsidRPr="00AB2C20">
        <w:rPr>
          <w:b/>
          <w:szCs w:val="24"/>
          <w:lang w:val="lv-LV"/>
        </w:rPr>
        <w:tab/>
        <w:t>Farmakodinamiskās īpašības</w:t>
      </w:r>
    </w:p>
    <w:p w:rsidR="00473450" w:rsidRPr="00AB2C20" w:rsidRDefault="00473450" w:rsidP="00CF0492">
      <w:pPr>
        <w:tabs>
          <w:tab w:val="clear" w:pos="567"/>
        </w:tabs>
        <w:spacing w:line="240" w:lineRule="auto"/>
        <w:jc w:val="both"/>
        <w:rPr>
          <w:i/>
          <w:szCs w:val="24"/>
          <w:u w:val="single"/>
          <w:lang w:val="lv-LV"/>
        </w:rPr>
      </w:pPr>
    </w:p>
    <w:p w:rsidR="00473450" w:rsidRPr="00AB2C20" w:rsidRDefault="00473450" w:rsidP="00CF0492">
      <w:pPr>
        <w:tabs>
          <w:tab w:val="clear" w:pos="567"/>
        </w:tabs>
        <w:spacing w:line="240" w:lineRule="auto"/>
        <w:jc w:val="both"/>
        <w:rPr>
          <w:szCs w:val="24"/>
          <w:lang w:val="lv-LV"/>
        </w:rPr>
      </w:pPr>
      <w:r w:rsidRPr="00AB2C20">
        <w:rPr>
          <w:i/>
          <w:szCs w:val="24"/>
          <w:u w:val="single"/>
          <w:lang w:val="lv-LV"/>
        </w:rPr>
        <w:t>Hioscīna butilbromīds (butilskopolamīna bromīds)</w:t>
      </w:r>
      <w:r w:rsidRPr="00AB2C20">
        <w:rPr>
          <w:szCs w:val="24"/>
          <w:lang w:val="lv-LV"/>
        </w:rPr>
        <w:t xml:space="preserve"> ir hioscīna četrvērtīgā amonija savienojums, un tas ir spazmolītisks līdzeklis, kas </w:t>
      </w:r>
      <w:r w:rsidR="00F00DB1">
        <w:rPr>
          <w:szCs w:val="24"/>
          <w:lang w:val="lv-LV"/>
        </w:rPr>
        <w:t>atslābina</w:t>
      </w:r>
      <w:r w:rsidR="00F00DB1" w:rsidRPr="00AB2C20">
        <w:rPr>
          <w:szCs w:val="24"/>
          <w:lang w:val="lv-LV"/>
        </w:rPr>
        <w:t xml:space="preserve"> </w:t>
      </w:r>
      <w:r w:rsidRPr="00AB2C20">
        <w:rPr>
          <w:szCs w:val="24"/>
          <w:lang w:val="lv-LV"/>
        </w:rPr>
        <w:t>vēdera dobuma un iegurņa orgānu gludo muskulatūru. Uzskata, ka tas galvenokārt iedarbojas uz šo orgānu intramurālajiem parasimpātiskajiem ganglijiem. Hioscīns, iedarbojoties uz muskarīna receptoriem, darbojas kā acetilholīna antagonists. Tas darbojas arī kā vājš nikotīna receptoru blokators. Ķīmiskās uzbūves dēļ (četrvērtīgs amonija atvasinājums) nav paredzams, ka hioscīns varētu iekļūt centrālajā nervu sistēmā un</w:t>
      </w:r>
      <w:r w:rsidR="00F00DB1">
        <w:rPr>
          <w:szCs w:val="24"/>
          <w:lang w:val="lv-LV"/>
        </w:rPr>
        <w:t xml:space="preserve"> </w:t>
      </w:r>
      <w:r w:rsidRPr="00AB2C20">
        <w:rPr>
          <w:szCs w:val="24"/>
          <w:lang w:val="lv-LV"/>
        </w:rPr>
        <w:t xml:space="preserve">radīt sekundāru antiholīnerģisku iedarbību </w:t>
      </w:r>
      <w:r w:rsidR="00F00DB1">
        <w:rPr>
          <w:szCs w:val="24"/>
          <w:lang w:val="lv-LV"/>
        </w:rPr>
        <w:t>tajā</w:t>
      </w:r>
      <w:r w:rsidRPr="00AB2C20">
        <w:rPr>
          <w:szCs w:val="24"/>
          <w:lang w:val="lv-LV"/>
        </w:rPr>
        <w:t>.</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i/>
          <w:szCs w:val="24"/>
          <w:u w:val="single"/>
          <w:lang w:val="lv-LV"/>
        </w:rPr>
        <w:t>Metamizols</w:t>
      </w:r>
      <w:r w:rsidRPr="00AB2C20">
        <w:rPr>
          <w:szCs w:val="24"/>
          <w:lang w:val="lv-LV"/>
        </w:rPr>
        <w:t xml:space="preserve"> pieder pirazolona atvasinājumu grupai un t</w:t>
      </w:r>
      <w:r w:rsidR="00F00DB1">
        <w:rPr>
          <w:szCs w:val="24"/>
          <w:lang w:val="lv-LV"/>
        </w:rPr>
        <w:t>as tiek</w:t>
      </w:r>
      <w:r w:rsidRPr="00AB2C20">
        <w:rPr>
          <w:szCs w:val="24"/>
          <w:lang w:val="lv-LV"/>
        </w:rPr>
        <w:t xml:space="preserve"> izmanto</w:t>
      </w:r>
      <w:r w:rsidR="00F00DB1">
        <w:rPr>
          <w:szCs w:val="24"/>
          <w:lang w:val="lv-LV"/>
        </w:rPr>
        <w:t>ts</w:t>
      </w:r>
      <w:r w:rsidRPr="00AB2C20">
        <w:rPr>
          <w:szCs w:val="24"/>
          <w:lang w:val="lv-LV"/>
        </w:rPr>
        <w:t xml:space="preserve"> kā pretsāpju, pretdrudža un spazmolītisk</w:t>
      </w:r>
      <w:r w:rsidR="00F00DB1">
        <w:rPr>
          <w:szCs w:val="24"/>
          <w:lang w:val="lv-LV"/>
        </w:rPr>
        <w:t>s</w:t>
      </w:r>
      <w:r w:rsidRPr="00AB2C20">
        <w:rPr>
          <w:szCs w:val="24"/>
          <w:lang w:val="lv-LV"/>
        </w:rPr>
        <w:t xml:space="preserve"> līdzekli</w:t>
      </w:r>
      <w:r w:rsidR="0049282C">
        <w:rPr>
          <w:szCs w:val="24"/>
          <w:lang w:val="lv-LV"/>
        </w:rPr>
        <w:t>s</w:t>
      </w:r>
      <w:r w:rsidRPr="00AB2C20">
        <w:rPr>
          <w:szCs w:val="24"/>
          <w:lang w:val="lv-LV"/>
        </w:rPr>
        <w:t>. Tam piemīt ievērojama centrāla pretsāpju un pretdrudža iedarbība, bet tikai neliela pretiekaisuma iedarbība (vājš pretsāpju līdzeklis). Metamizols inhibē prostaglandīnu sintēzi, bloķējot ciklooksigenāzi. Pretsāpju un pretdrudža iedarbību nodrošina galvenokārt prostaglandīna E</w:t>
      </w:r>
      <w:r w:rsidRPr="00AB2C20">
        <w:rPr>
          <w:szCs w:val="24"/>
          <w:vertAlign w:val="subscript"/>
          <w:lang w:val="lv-LV"/>
        </w:rPr>
        <w:t xml:space="preserve">2 </w:t>
      </w:r>
      <w:r w:rsidRPr="00AB2C20">
        <w:rPr>
          <w:szCs w:val="24"/>
          <w:lang w:val="lv-LV"/>
        </w:rPr>
        <w:t>sintēzes inhibīcija. Turklāt metamizolam piemīt spazmolītiska iedarbība uz orgānu gludo muskulatūru. Metamizola nātrij</w:t>
      </w:r>
      <w:r w:rsidR="00426933">
        <w:rPr>
          <w:szCs w:val="24"/>
          <w:lang w:val="lv-LV"/>
        </w:rPr>
        <w:t>a sāls antagonizē</w:t>
      </w:r>
      <w:r w:rsidR="00426933" w:rsidRPr="00AB2C20" w:rsidDel="00426933">
        <w:rPr>
          <w:szCs w:val="24"/>
          <w:lang w:val="lv-LV"/>
        </w:rPr>
        <w:t xml:space="preserve"> </w:t>
      </w:r>
      <w:r w:rsidRPr="00AB2C20">
        <w:rPr>
          <w:szCs w:val="24"/>
          <w:lang w:val="lv-LV"/>
        </w:rPr>
        <w:t>bradikinīna un histamīna iedarbību.</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5.2</w:t>
      </w:r>
      <w:r w:rsidRPr="00AB2C20">
        <w:rPr>
          <w:b/>
          <w:szCs w:val="24"/>
          <w:lang w:val="lv-LV"/>
        </w:rPr>
        <w:tab/>
        <w:t>Farmakokinētiskie dati</w:t>
      </w:r>
    </w:p>
    <w:p w:rsidR="00473450" w:rsidRPr="00AB2C20" w:rsidRDefault="00473450" w:rsidP="00CF0492">
      <w:pPr>
        <w:tabs>
          <w:tab w:val="clear" w:pos="567"/>
        </w:tabs>
        <w:spacing w:line="240" w:lineRule="auto"/>
        <w:jc w:val="both"/>
        <w:rPr>
          <w:szCs w:val="24"/>
          <w:lang w:val="lv-LV"/>
        </w:rPr>
      </w:pPr>
    </w:p>
    <w:p w:rsidR="00473450" w:rsidRPr="00AB2C20" w:rsidRDefault="00426933" w:rsidP="00CF0492">
      <w:pPr>
        <w:tabs>
          <w:tab w:val="clear" w:pos="567"/>
        </w:tabs>
        <w:spacing w:line="240" w:lineRule="auto"/>
        <w:jc w:val="both"/>
        <w:rPr>
          <w:i/>
          <w:szCs w:val="24"/>
          <w:u w:val="single"/>
          <w:lang w:val="lv-LV"/>
        </w:rPr>
      </w:pPr>
      <w:r w:rsidRPr="00AB2C20">
        <w:rPr>
          <w:szCs w:val="24"/>
          <w:lang w:val="lv-LV"/>
        </w:rPr>
        <w:t>17</w:t>
      </w:r>
      <w:r>
        <w:rPr>
          <w:szCs w:val="24"/>
          <w:lang w:val="lv-LV"/>
        </w:rPr>
        <w:t xml:space="preserve"> </w:t>
      </w:r>
      <w:r w:rsidRPr="00AB2C20">
        <w:rPr>
          <w:szCs w:val="24"/>
          <w:lang w:val="lv-LV"/>
        </w:rPr>
        <w:noBreakHyphen/>
      </w:r>
      <w:r>
        <w:rPr>
          <w:szCs w:val="24"/>
          <w:lang w:val="lv-LV"/>
        </w:rPr>
        <w:t xml:space="preserve"> </w:t>
      </w:r>
      <w:r w:rsidRPr="00AB2C20">
        <w:rPr>
          <w:szCs w:val="24"/>
          <w:lang w:val="lv-LV"/>
        </w:rPr>
        <w:t xml:space="preserve">24% </w:t>
      </w:r>
      <w:r>
        <w:rPr>
          <w:szCs w:val="24"/>
          <w:lang w:val="lv-LV"/>
        </w:rPr>
        <w:t>h</w:t>
      </w:r>
      <w:r w:rsidR="00473450" w:rsidRPr="00AB2C20">
        <w:rPr>
          <w:i/>
          <w:szCs w:val="24"/>
          <w:u w:val="single"/>
          <w:lang w:val="lv-LV"/>
        </w:rPr>
        <w:t>ioscīna butilbromīd</w:t>
      </w:r>
      <w:r>
        <w:rPr>
          <w:i/>
          <w:szCs w:val="24"/>
          <w:u w:val="single"/>
          <w:lang w:val="lv-LV"/>
        </w:rPr>
        <w:t>a</w:t>
      </w:r>
      <w:r>
        <w:rPr>
          <w:szCs w:val="24"/>
          <w:lang w:val="lv-LV"/>
        </w:rPr>
        <w:t xml:space="preserve"> </w:t>
      </w:r>
      <w:r w:rsidR="00473450" w:rsidRPr="00AB2C20">
        <w:rPr>
          <w:szCs w:val="24"/>
          <w:lang w:val="lv-LV"/>
        </w:rPr>
        <w:t>saistās ar plazmas olbaltumvielām. Eliminācijas pusperiods ir 2</w:t>
      </w:r>
      <w:r w:rsidR="00473450" w:rsidRPr="00AB2C20">
        <w:rPr>
          <w:szCs w:val="24"/>
          <w:lang w:val="lv-LV"/>
        </w:rPr>
        <w:noBreakHyphen/>
        <w:t>3 stundas. Hioscīna butilbromīds galvenokārt izdalās neizmainītā veidā ar urīnu (aptuveni 54%).</w:t>
      </w:r>
    </w:p>
    <w:p w:rsidR="00473450" w:rsidRPr="00AB2C20" w:rsidRDefault="00473450" w:rsidP="00CF0492">
      <w:pPr>
        <w:tabs>
          <w:tab w:val="clear" w:pos="567"/>
        </w:tabs>
        <w:spacing w:line="240" w:lineRule="auto"/>
        <w:jc w:val="both"/>
        <w:rPr>
          <w:i/>
          <w:szCs w:val="24"/>
          <w:u w:val="single"/>
          <w:lang w:val="lv-LV"/>
        </w:rPr>
      </w:pPr>
    </w:p>
    <w:p w:rsidR="00473450" w:rsidRPr="00AB2C20" w:rsidRDefault="00473450" w:rsidP="00CF0492">
      <w:pPr>
        <w:tabs>
          <w:tab w:val="clear" w:pos="567"/>
        </w:tabs>
        <w:spacing w:line="240" w:lineRule="auto"/>
        <w:jc w:val="both"/>
        <w:rPr>
          <w:i/>
          <w:szCs w:val="24"/>
          <w:u w:val="single"/>
          <w:lang w:val="lv-LV"/>
        </w:rPr>
      </w:pPr>
      <w:r w:rsidRPr="00AB2C20">
        <w:rPr>
          <w:i/>
          <w:szCs w:val="24"/>
          <w:u w:val="single"/>
          <w:lang w:val="lv-LV"/>
        </w:rPr>
        <w:t>Metamizola nātrij</w:t>
      </w:r>
      <w:r w:rsidR="00426933">
        <w:rPr>
          <w:i/>
          <w:szCs w:val="24"/>
          <w:u w:val="single"/>
          <w:lang w:val="lv-LV"/>
        </w:rPr>
        <w:t>a sāls</w:t>
      </w:r>
      <w:r w:rsidRPr="00AB2C20">
        <w:rPr>
          <w:szCs w:val="24"/>
          <w:lang w:val="lv-LV"/>
        </w:rPr>
        <w:t xml:space="preserve"> ātri hidrolizējas primārajā farmakoloģiski aktīvajā metabolītā 4 metilaminoantipirīnā (MAA). Pārējie metabolīti (4 acetilaminoantipirīns (AAA), 4 formilaminoantipirīns (FAA) un aminoantipirīns (AA)) veidojas mazākā </w:t>
      </w:r>
      <w:r w:rsidR="00426933">
        <w:rPr>
          <w:szCs w:val="24"/>
          <w:lang w:val="lv-LV"/>
        </w:rPr>
        <w:t>apjomā</w:t>
      </w:r>
      <w:r w:rsidRPr="00AB2C20">
        <w:rPr>
          <w:szCs w:val="24"/>
          <w:lang w:val="lv-LV"/>
        </w:rPr>
        <w:t>. Metabolītiem piemīt šāda saistīšanās spēja ar plazmas olbaltumvielām: MAA: 56%, AA: 40%, FAA: 15%, AAA 14%. MAA eliminācijas pusperiods ir 6 stundas. Metamizols galvenokārt izdalās ar urīnu.</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6.</w:t>
      </w:r>
      <w:r w:rsidRPr="00AB2C20">
        <w:rPr>
          <w:b/>
          <w:szCs w:val="24"/>
          <w:lang w:val="lv-LV"/>
        </w:rPr>
        <w:tab/>
        <w:t>FARMACEITISKĀ INFORMĀCIJA</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b/>
          <w:szCs w:val="24"/>
          <w:lang w:val="lv-LV"/>
        </w:rPr>
      </w:pPr>
      <w:r w:rsidRPr="00AB2C20">
        <w:rPr>
          <w:b/>
          <w:szCs w:val="24"/>
          <w:lang w:val="lv-LV"/>
        </w:rPr>
        <w:t>6.1</w:t>
      </w:r>
      <w:r w:rsidRPr="00AB2C20">
        <w:rPr>
          <w:b/>
          <w:szCs w:val="24"/>
          <w:lang w:val="lv-LV"/>
        </w:rPr>
        <w:tab/>
        <w:t>Palīgvielu saraksts</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Fenols</w:t>
      </w:r>
    </w:p>
    <w:p w:rsidR="00473450" w:rsidRPr="00AB2C20" w:rsidRDefault="00473450" w:rsidP="00CF0492">
      <w:pPr>
        <w:tabs>
          <w:tab w:val="clear" w:pos="567"/>
        </w:tabs>
        <w:spacing w:line="240" w:lineRule="auto"/>
        <w:jc w:val="both"/>
        <w:rPr>
          <w:szCs w:val="24"/>
          <w:lang w:val="lv-LV"/>
        </w:rPr>
      </w:pPr>
      <w:r w:rsidRPr="00AB2C20">
        <w:rPr>
          <w:szCs w:val="24"/>
          <w:lang w:val="lv-LV"/>
        </w:rPr>
        <w:t>Vīnskābe (E 334)</w:t>
      </w:r>
    </w:p>
    <w:p w:rsidR="00473450" w:rsidRPr="00AB2C20" w:rsidRDefault="00473450" w:rsidP="00CF0492">
      <w:pPr>
        <w:tabs>
          <w:tab w:val="clear" w:pos="567"/>
        </w:tabs>
        <w:spacing w:line="240" w:lineRule="auto"/>
        <w:jc w:val="both"/>
        <w:rPr>
          <w:szCs w:val="24"/>
          <w:lang w:val="lv-LV"/>
        </w:rPr>
      </w:pPr>
      <w:r w:rsidRPr="00AB2C20">
        <w:rPr>
          <w:szCs w:val="24"/>
          <w:lang w:val="lv-LV"/>
        </w:rPr>
        <w:t>Ūdens injekcijām</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6.2</w:t>
      </w:r>
      <w:r w:rsidRPr="00AB2C20">
        <w:rPr>
          <w:b/>
          <w:szCs w:val="24"/>
          <w:lang w:val="lv-LV"/>
        </w:rPr>
        <w:tab/>
        <w:t>Būtiska nesaderība</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bookmarkStart w:id="17" w:name="_Hlk529778048"/>
      <w:r w:rsidRPr="00AB2C20">
        <w:rPr>
          <w:szCs w:val="24"/>
          <w:lang w:val="lv-LV"/>
        </w:rPr>
        <w:t>Tā kā nav veikti saderības pētījumi, šīs veterinārās zāles nedrīkst lietot maisījumā ar citām veterinārajām zālēm.</w:t>
      </w:r>
    </w:p>
    <w:bookmarkEnd w:id="17"/>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6.3</w:t>
      </w:r>
      <w:r w:rsidRPr="00AB2C20">
        <w:rPr>
          <w:b/>
          <w:szCs w:val="24"/>
          <w:lang w:val="lv-LV"/>
        </w:rPr>
        <w:tab/>
        <w:t>Derīguma termiņš</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Veterināro zāļu derīguma termiņš izplatīšanai paredzētā iepakojumā: 3 gadi</w:t>
      </w:r>
      <w:r w:rsidR="00F27456">
        <w:rPr>
          <w:szCs w:val="24"/>
          <w:lang w:val="lv-LV"/>
        </w:rPr>
        <w:t>.</w:t>
      </w:r>
    </w:p>
    <w:p w:rsidR="00473450" w:rsidRPr="00AB2C20" w:rsidRDefault="00473450" w:rsidP="00CF0492">
      <w:pPr>
        <w:tabs>
          <w:tab w:val="clear" w:pos="567"/>
        </w:tabs>
        <w:spacing w:line="240" w:lineRule="auto"/>
        <w:jc w:val="both"/>
        <w:rPr>
          <w:szCs w:val="24"/>
          <w:lang w:val="lv-LV"/>
        </w:rPr>
      </w:pPr>
      <w:r w:rsidRPr="00AB2C20">
        <w:rPr>
          <w:szCs w:val="24"/>
          <w:lang w:val="lv-LV"/>
        </w:rPr>
        <w:t>Derīguma termiņš pēc pirmās tiešā iepakojuma atvēršanas: 28 dienas</w:t>
      </w:r>
      <w:r w:rsidR="00F27456">
        <w:rPr>
          <w:szCs w:val="24"/>
          <w:lang w:val="lv-LV"/>
        </w:rPr>
        <w:t xml:space="preserve">. </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lastRenderedPageBreak/>
        <w:t>6.4</w:t>
      </w:r>
      <w:r w:rsidRPr="00AB2C20">
        <w:rPr>
          <w:b/>
          <w:szCs w:val="24"/>
          <w:lang w:val="lv-LV"/>
        </w:rPr>
        <w:tab/>
        <w:t>Īpaši uzglabāšanas nosacījumi</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 xml:space="preserve">Pēc pirmās tiešā iepakojuma atvēršanas uzglabāt temperatūrā </w:t>
      </w:r>
      <w:r w:rsidR="00F27456">
        <w:rPr>
          <w:szCs w:val="24"/>
          <w:lang w:val="lv-LV"/>
        </w:rPr>
        <w:t>līdz</w:t>
      </w:r>
      <w:r w:rsidR="00F27456" w:rsidRPr="00AB2C20">
        <w:rPr>
          <w:szCs w:val="24"/>
          <w:lang w:val="lv-LV"/>
        </w:rPr>
        <w:t xml:space="preserve"> </w:t>
      </w:r>
      <w:r w:rsidRPr="00AB2C20">
        <w:rPr>
          <w:szCs w:val="24"/>
          <w:lang w:val="lv-LV"/>
        </w:rPr>
        <w:t>25</w:t>
      </w:r>
      <w:r w:rsidR="00365900">
        <w:rPr>
          <w:szCs w:val="24"/>
          <w:lang w:val="lv-LV"/>
        </w:rPr>
        <w:t xml:space="preserve"> </w:t>
      </w:r>
      <w:r w:rsidRPr="00AB2C20">
        <w:rPr>
          <w:szCs w:val="24"/>
          <w:lang w:val="lv-LV"/>
        </w:rPr>
        <w:t>°C</w:t>
      </w:r>
      <w:r w:rsidR="00885BAB" w:rsidRPr="00AB2C20">
        <w:rPr>
          <w:szCs w:val="24"/>
          <w:lang w:val="lv-LV"/>
        </w:rPr>
        <w:t>.</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6.5</w:t>
      </w:r>
      <w:r w:rsidRPr="00AB2C20">
        <w:rPr>
          <w:b/>
          <w:szCs w:val="24"/>
          <w:lang w:val="lv-LV"/>
        </w:rPr>
        <w:tab/>
        <w:t>Tiešā iepakojuma veids un saturs</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Kartona k</w:t>
      </w:r>
      <w:r w:rsidR="00F27456">
        <w:rPr>
          <w:szCs w:val="24"/>
          <w:lang w:val="lv-LV"/>
        </w:rPr>
        <w:t>astīte</w:t>
      </w:r>
      <w:r w:rsidRPr="00AB2C20">
        <w:rPr>
          <w:szCs w:val="24"/>
          <w:lang w:val="lv-LV"/>
        </w:rPr>
        <w:t xml:space="preserve"> ar dzintarkrāsas stikla flakonu (II tips) ar brombutila gumijas aizbāzni un alumīnija vāciņu.</w:t>
      </w:r>
    </w:p>
    <w:p w:rsidR="00473450" w:rsidRPr="00AB2C20" w:rsidRDefault="00473450" w:rsidP="00CF0492">
      <w:pPr>
        <w:tabs>
          <w:tab w:val="clear" w:pos="567"/>
        </w:tabs>
        <w:spacing w:line="240" w:lineRule="auto"/>
        <w:jc w:val="both"/>
        <w:rPr>
          <w:szCs w:val="24"/>
          <w:lang w:val="lv-LV"/>
        </w:rPr>
      </w:pPr>
      <w:r w:rsidRPr="00AB2C20">
        <w:rPr>
          <w:szCs w:val="24"/>
          <w:lang w:val="lv-LV"/>
        </w:rPr>
        <w:t>Iepakojuma izmēri: 100 ml, 5 x 100 ml</w:t>
      </w:r>
      <w:r w:rsidR="00F27456">
        <w:rPr>
          <w:szCs w:val="24"/>
          <w:lang w:val="lv-LV"/>
        </w:rPr>
        <w:t xml:space="preserve">. </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Ne visi iepakojuma izmēri var tikt izplatīti.</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ind w:left="567" w:hanging="567"/>
        <w:jc w:val="both"/>
        <w:rPr>
          <w:szCs w:val="24"/>
          <w:lang w:val="lv-LV"/>
        </w:rPr>
      </w:pPr>
      <w:r w:rsidRPr="00AB2C20">
        <w:rPr>
          <w:b/>
          <w:szCs w:val="24"/>
          <w:lang w:val="lv-LV"/>
        </w:rPr>
        <w:t>6.6</w:t>
      </w:r>
      <w:r w:rsidRPr="00AB2C20">
        <w:rPr>
          <w:szCs w:val="24"/>
          <w:lang w:val="lv-LV"/>
        </w:rPr>
        <w:tab/>
      </w:r>
      <w:r w:rsidRPr="00AB2C20">
        <w:rPr>
          <w:b/>
          <w:szCs w:val="24"/>
          <w:lang w:val="lv-LV"/>
        </w:rPr>
        <w:t>Īpaši norādījumi neizlietotu veterināro zāļu vai to atkritumu iznīcināšanai</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i/>
          <w:szCs w:val="24"/>
          <w:lang w:val="lv-LV"/>
        </w:rPr>
      </w:pPr>
      <w:r w:rsidRPr="00AB2C20">
        <w:rPr>
          <w:szCs w:val="24"/>
          <w:lang w:val="lv-LV"/>
        </w:rPr>
        <w:t>Jebkuras neizlietotas veterinārās zāles vai to atkritumi jāiznīcina saskaņā ar nacionālajiem tiesību aktiem.</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b/>
          <w:szCs w:val="24"/>
          <w:lang w:val="lv-LV"/>
        </w:rPr>
      </w:pPr>
      <w:r w:rsidRPr="00AB2C20">
        <w:rPr>
          <w:b/>
          <w:szCs w:val="24"/>
          <w:lang w:val="lv-LV"/>
        </w:rPr>
        <w:t>7.</w:t>
      </w:r>
      <w:r w:rsidRPr="00AB2C20">
        <w:rPr>
          <w:b/>
          <w:szCs w:val="24"/>
          <w:lang w:val="lv-LV"/>
        </w:rPr>
        <w:tab/>
        <w:t>REĢISTRĀCIJAS APLIECĪBAS ĪPAŠNIEKS</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szCs w:val="24"/>
          <w:lang w:val="lv-LV"/>
        </w:rPr>
        <w:t>Dechra Regulatory B.V.</w:t>
      </w:r>
    </w:p>
    <w:p w:rsidR="00473450" w:rsidRPr="00AB2C20" w:rsidRDefault="00473450" w:rsidP="00CF0492">
      <w:pPr>
        <w:tabs>
          <w:tab w:val="clear" w:pos="567"/>
        </w:tabs>
        <w:spacing w:line="240" w:lineRule="auto"/>
        <w:jc w:val="both"/>
        <w:rPr>
          <w:szCs w:val="24"/>
          <w:lang w:val="lv-LV"/>
        </w:rPr>
      </w:pPr>
      <w:r w:rsidRPr="00AB2C20">
        <w:rPr>
          <w:szCs w:val="24"/>
          <w:lang w:val="lv-LV"/>
        </w:rPr>
        <w:t>Handelsweg 25</w:t>
      </w:r>
    </w:p>
    <w:p w:rsidR="00473450" w:rsidRPr="00AB2C20" w:rsidRDefault="00473450" w:rsidP="00CF0492">
      <w:pPr>
        <w:tabs>
          <w:tab w:val="clear" w:pos="567"/>
        </w:tabs>
        <w:spacing w:line="240" w:lineRule="auto"/>
        <w:jc w:val="both"/>
        <w:rPr>
          <w:szCs w:val="24"/>
          <w:lang w:val="lv-LV"/>
        </w:rPr>
      </w:pPr>
      <w:r w:rsidRPr="00AB2C20">
        <w:rPr>
          <w:szCs w:val="24"/>
          <w:lang w:val="lv-LV"/>
        </w:rPr>
        <w:t>5531 AE Bladel</w:t>
      </w:r>
    </w:p>
    <w:p w:rsidR="00473450" w:rsidRPr="00AB2C20" w:rsidRDefault="00473450" w:rsidP="00CF0492">
      <w:pPr>
        <w:tabs>
          <w:tab w:val="clear" w:pos="567"/>
        </w:tabs>
        <w:spacing w:line="240" w:lineRule="auto"/>
        <w:jc w:val="both"/>
        <w:rPr>
          <w:szCs w:val="24"/>
          <w:lang w:val="lv-LV"/>
        </w:rPr>
      </w:pPr>
      <w:r w:rsidRPr="00AB2C20">
        <w:rPr>
          <w:szCs w:val="24"/>
          <w:lang w:val="lv-LV"/>
        </w:rPr>
        <w:t>Nīderlande</w:t>
      </w:r>
    </w:p>
    <w:p w:rsidR="00473450" w:rsidRDefault="00473450" w:rsidP="00CF0492">
      <w:pPr>
        <w:tabs>
          <w:tab w:val="clear" w:pos="567"/>
        </w:tabs>
        <w:spacing w:line="240" w:lineRule="auto"/>
        <w:jc w:val="both"/>
        <w:rPr>
          <w:szCs w:val="24"/>
          <w:lang w:val="lv-LV"/>
        </w:rPr>
      </w:pPr>
    </w:p>
    <w:p w:rsidR="00365900" w:rsidRPr="00AB2C20" w:rsidRDefault="0036590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8.</w:t>
      </w:r>
      <w:r w:rsidRPr="00AB2C20">
        <w:rPr>
          <w:b/>
          <w:szCs w:val="24"/>
          <w:lang w:val="lv-LV"/>
        </w:rPr>
        <w:tab/>
        <w:t>REĢISTRĀCIJAS APLIECĪBAS NUMURS(-I)</w:t>
      </w:r>
    </w:p>
    <w:p w:rsidR="00473450" w:rsidRDefault="00473450" w:rsidP="00CF0492">
      <w:pPr>
        <w:tabs>
          <w:tab w:val="clear" w:pos="567"/>
        </w:tabs>
        <w:spacing w:line="240" w:lineRule="auto"/>
        <w:jc w:val="both"/>
        <w:rPr>
          <w:szCs w:val="24"/>
          <w:lang w:val="lv-LV"/>
        </w:rPr>
      </w:pPr>
    </w:p>
    <w:p w:rsidR="00F27456" w:rsidRPr="00AB2C20" w:rsidRDefault="00483834" w:rsidP="00CF0492">
      <w:pPr>
        <w:tabs>
          <w:tab w:val="clear" w:pos="567"/>
        </w:tabs>
        <w:spacing w:line="240" w:lineRule="auto"/>
        <w:jc w:val="both"/>
        <w:rPr>
          <w:szCs w:val="24"/>
          <w:lang w:val="lv-LV"/>
        </w:rPr>
      </w:pPr>
      <w:r w:rsidRPr="00483834">
        <w:rPr>
          <w:szCs w:val="24"/>
          <w:lang w:val="lv-LV"/>
        </w:rPr>
        <w:t>V/DCP/19/0030</w:t>
      </w:r>
    </w:p>
    <w:p w:rsidR="00473450" w:rsidRDefault="00473450" w:rsidP="00CF0492">
      <w:pPr>
        <w:tabs>
          <w:tab w:val="clear" w:pos="567"/>
        </w:tabs>
        <w:spacing w:line="240" w:lineRule="auto"/>
        <w:jc w:val="both"/>
        <w:rPr>
          <w:szCs w:val="24"/>
          <w:lang w:val="lv-LV"/>
        </w:rPr>
      </w:pPr>
    </w:p>
    <w:p w:rsidR="00365900" w:rsidRPr="00AB2C20" w:rsidRDefault="0036590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r w:rsidRPr="00AB2C20">
        <w:rPr>
          <w:b/>
          <w:szCs w:val="24"/>
          <w:lang w:val="lv-LV"/>
        </w:rPr>
        <w:t>9.</w:t>
      </w:r>
      <w:r w:rsidRPr="00AB2C20">
        <w:rPr>
          <w:b/>
          <w:szCs w:val="24"/>
          <w:lang w:val="lv-LV"/>
        </w:rPr>
        <w:tab/>
        <w:t>REĢISTRĀCIJAS /PĀRREĢISTRĀCIJAS DATUMS</w:t>
      </w:r>
    </w:p>
    <w:p w:rsidR="00473450" w:rsidRPr="00AB2C20" w:rsidRDefault="00473450" w:rsidP="00CF0492">
      <w:pPr>
        <w:tabs>
          <w:tab w:val="clear" w:pos="567"/>
        </w:tabs>
        <w:spacing w:line="240" w:lineRule="auto"/>
        <w:jc w:val="both"/>
        <w:rPr>
          <w:szCs w:val="24"/>
          <w:lang w:val="lv-LV"/>
        </w:rPr>
      </w:pPr>
    </w:p>
    <w:p w:rsidR="00473450" w:rsidRPr="00AB2C20" w:rsidRDefault="00483834" w:rsidP="00CF0492">
      <w:pPr>
        <w:tabs>
          <w:tab w:val="clear" w:pos="567"/>
        </w:tabs>
        <w:spacing w:line="240" w:lineRule="auto"/>
        <w:jc w:val="both"/>
        <w:rPr>
          <w:szCs w:val="24"/>
          <w:lang w:val="lv-LV"/>
        </w:rPr>
      </w:pPr>
      <w:r>
        <w:rPr>
          <w:szCs w:val="24"/>
          <w:lang w:val="lv-LV"/>
        </w:rPr>
        <w:t>04.06.2019.</w:t>
      </w: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szCs w:val="24"/>
          <w:lang w:val="lv-LV"/>
        </w:rPr>
      </w:pPr>
    </w:p>
    <w:p w:rsidR="00473450" w:rsidRPr="00AB2C20" w:rsidRDefault="00473450" w:rsidP="00CF0492">
      <w:pPr>
        <w:tabs>
          <w:tab w:val="clear" w:pos="567"/>
        </w:tabs>
        <w:spacing w:line="240" w:lineRule="auto"/>
        <w:jc w:val="both"/>
        <w:rPr>
          <w:b/>
          <w:szCs w:val="24"/>
          <w:lang w:val="lv-LV"/>
        </w:rPr>
      </w:pPr>
      <w:r w:rsidRPr="00AB2C20">
        <w:rPr>
          <w:b/>
          <w:szCs w:val="24"/>
          <w:lang w:val="lv-LV"/>
        </w:rPr>
        <w:t>10</w:t>
      </w:r>
      <w:r w:rsidRPr="00AB2C20">
        <w:rPr>
          <w:b/>
          <w:szCs w:val="24"/>
          <w:lang w:val="lv-LV"/>
        </w:rPr>
        <w:tab/>
        <w:t>TEKSTA PĒDĒJĀS PĀRSKATĪŠANAS DATUMS</w:t>
      </w:r>
    </w:p>
    <w:p w:rsidR="00473450" w:rsidRDefault="00473450" w:rsidP="00CF0492">
      <w:pPr>
        <w:tabs>
          <w:tab w:val="clear" w:pos="567"/>
        </w:tabs>
        <w:spacing w:line="240" w:lineRule="auto"/>
        <w:jc w:val="both"/>
        <w:rPr>
          <w:szCs w:val="24"/>
          <w:lang w:val="lv-LV"/>
        </w:rPr>
      </w:pPr>
    </w:p>
    <w:p w:rsidR="00F27456" w:rsidRDefault="00483834" w:rsidP="00CF0492">
      <w:pPr>
        <w:tabs>
          <w:tab w:val="clear" w:pos="567"/>
        </w:tabs>
        <w:spacing w:line="240" w:lineRule="auto"/>
        <w:jc w:val="both"/>
        <w:rPr>
          <w:szCs w:val="24"/>
          <w:lang w:val="lv-LV"/>
        </w:rPr>
      </w:pPr>
      <w:r>
        <w:rPr>
          <w:szCs w:val="24"/>
          <w:lang w:val="lv-LV"/>
        </w:rPr>
        <w:t>06/2019</w:t>
      </w:r>
    </w:p>
    <w:p w:rsidR="00F27456" w:rsidRPr="00AB2C20" w:rsidRDefault="00F27456" w:rsidP="00CF0492">
      <w:pPr>
        <w:tabs>
          <w:tab w:val="clear" w:pos="567"/>
        </w:tabs>
        <w:spacing w:line="240" w:lineRule="auto"/>
        <w:jc w:val="both"/>
        <w:rPr>
          <w:szCs w:val="24"/>
          <w:lang w:val="lv-LV"/>
        </w:rPr>
      </w:pPr>
    </w:p>
    <w:p w:rsidR="00473450" w:rsidRPr="00AB2C20" w:rsidRDefault="00473450">
      <w:pPr>
        <w:tabs>
          <w:tab w:val="clear" w:pos="567"/>
        </w:tabs>
        <w:spacing w:line="240" w:lineRule="auto"/>
        <w:rPr>
          <w:szCs w:val="24"/>
          <w:lang w:val="lv-LV"/>
        </w:rPr>
      </w:pPr>
    </w:p>
    <w:p w:rsidR="00473450" w:rsidRPr="00AB2C20" w:rsidRDefault="00473450">
      <w:pPr>
        <w:tabs>
          <w:tab w:val="clear" w:pos="567"/>
        </w:tabs>
        <w:spacing w:line="240" w:lineRule="auto"/>
        <w:rPr>
          <w:szCs w:val="24"/>
          <w:lang w:val="lv-LV"/>
        </w:rPr>
      </w:pPr>
      <w:r w:rsidRPr="00AB2C20">
        <w:rPr>
          <w:b/>
          <w:szCs w:val="24"/>
          <w:lang w:val="lv-LV"/>
        </w:rPr>
        <w:t>RAŽOŠANAS, IEVEŠANAS, IZPLATĪŠANAS, TIRDZNIECĪBAS, PIEGĀDES UN/VAI LIETOŠANAS AIZLIEGUMS</w:t>
      </w:r>
    </w:p>
    <w:p w:rsidR="00473450" w:rsidRPr="00AB2C20" w:rsidRDefault="00473450">
      <w:pPr>
        <w:tabs>
          <w:tab w:val="clear" w:pos="567"/>
        </w:tabs>
        <w:spacing w:line="240" w:lineRule="auto"/>
        <w:rPr>
          <w:szCs w:val="24"/>
          <w:lang w:val="lv-LV"/>
        </w:rPr>
      </w:pPr>
    </w:p>
    <w:p w:rsidR="00473450" w:rsidRPr="004C6B87" w:rsidRDefault="00F27456">
      <w:pPr>
        <w:tabs>
          <w:tab w:val="clear" w:pos="567"/>
        </w:tabs>
        <w:spacing w:line="240" w:lineRule="auto"/>
        <w:rPr>
          <w:szCs w:val="24"/>
          <w:lang w:val="lv-LV"/>
        </w:rPr>
      </w:pPr>
      <w:r>
        <w:rPr>
          <w:szCs w:val="24"/>
          <w:lang w:val="lv-LV"/>
        </w:rPr>
        <w:t xml:space="preserve">Recepšu veterinārās zāles. </w:t>
      </w:r>
    </w:p>
    <w:sectPr w:rsidR="00473450" w:rsidRPr="004C6B87">
      <w:footerReference w:type="default" r:id="rId7"/>
      <w:footerReference w:type="first" r:id="rId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C2B" w:rsidRDefault="00FB0C2B">
      <w:pPr>
        <w:rPr>
          <w:szCs w:val="24"/>
        </w:rPr>
      </w:pPr>
      <w:r>
        <w:rPr>
          <w:szCs w:val="24"/>
        </w:rPr>
        <w:separator/>
      </w:r>
    </w:p>
  </w:endnote>
  <w:endnote w:type="continuationSeparator" w:id="0">
    <w:p w:rsidR="00FB0C2B" w:rsidRDefault="00FB0C2B">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450" w:rsidRDefault="00473450">
    <w:pPr>
      <w:pStyle w:val="Footer"/>
      <w:tabs>
        <w:tab w:val="clear" w:pos="8930"/>
        <w:tab w:val="right" w:pos="8931"/>
      </w:tabs>
      <w:jc w:val="center"/>
      <w:rPr>
        <w:rFonts w:ascii="Times New Roman" w:hAnsi="Times New Roman"/>
        <w:szCs w:val="24"/>
        <w:lang w:val="el-GR"/>
      </w:rPr>
    </w:pPr>
    <w:r>
      <w:rPr>
        <w:rFonts w:ascii="Times New Roman" w:hAnsi="Times New Roman"/>
        <w:szCs w:val="24"/>
      </w:rPr>
      <w:fldChar w:fldCharType="begin"/>
    </w:r>
    <w:r>
      <w:rPr>
        <w:rFonts w:ascii="Times New Roman" w:hAnsi="Times New Roman"/>
        <w:szCs w:val="24"/>
      </w:rPr>
      <w:instrText xml:space="preserve"> PAGE  \* MERGEFORMAT </w:instrText>
    </w:r>
    <w:r>
      <w:rPr>
        <w:rFonts w:ascii="Times New Roman" w:hAnsi="Times New Roman"/>
        <w:szCs w:val="24"/>
      </w:rPr>
      <w:fldChar w:fldCharType="separate"/>
    </w:r>
    <w:r w:rsidR="00536F0E">
      <w:rPr>
        <w:rFonts w:ascii="Times New Roman" w:hAnsi="Times New Roman"/>
        <w:noProof/>
        <w:szCs w:val="24"/>
      </w:rPr>
      <w:t>1</w:t>
    </w:r>
    <w:r>
      <w:rPr>
        <w:rFonts w:ascii="Times New Roman" w:hAnsi="Times New Roman"/>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450" w:rsidRDefault="00473450">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2</w:t>
    </w:r>
    <w:r>
      <w:rPr>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C2B" w:rsidRDefault="00FB0C2B">
      <w:pPr>
        <w:rPr>
          <w:szCs w:val="24"/>
        </w:rPr>
      </w:pPr>
      <w:r>
        <w:rPr>
          <w:szCs w:val="24"/>
        </w:rPr>
        <w:separator/>
      </w:r>
    </w:p>
  </w:footnote>
  <w:footnote w:type="continuationSeparator" w:id="0">
    <w:p w:rsidR="00FB0C2B" w:rsidRDefault="00FB0C2B">
      <w:pPr>
        <w:rPr>
          <w:szCs w:val="24"/>
        </w:rPr>
      </w:pPr>
      <w:r>
        <w:rPr>
          <w:szCs w:val="24"/>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AF0A31"/>
    <w:multiLevelType w:val="hybridMultilevel"/>
    <w:tmpl w:val="84A43108"/>
    <w:lvl w:ilvl="0" w:tplc="FFFFFFFF">
      <w:start w:val="1"/>
      <w:numFmt w:val="bullet"/>
      <w:lvlText w:val="-"/>
      <w:lvlJc w:val="left"/>
      <w:pPr>
        <w:ind w:left="825" w:hanging="360"/>
      </w:pPr>
      <w:rPr>
        <w:rFonts w:hint="default"/>
      </w:rPr>
    </w:lvl>
    <w:lvl w:ilvl="1" w:tplc="04070003" w:tentative="1">
      <w:start w:val="1"/>
      <w:numFmt w:val="bullet"/>
      <w:lvlText w:val="o"/>
      <w:lvlJc w:val="left"/>
      <w:pPr>
        <w:ind w:left="1545" w:hanging="360"/>
      </w:pPr>
      <w:rPr>
        <w:rFonts w:ascii="Courier New" w:hAnsi="Courier New" w:hint="default"/>
      </w:rPr>
    </w:lvl>
    <w:lvl w:ilvl="2" w:tplc="04070005" w:tentative="1">
      <w:start w:val="1"/>
      <w:numFmt w:val="bullet"/>
      <w:lvlText w:val=""/>
      <w:lvlJc w:val="left"/>
      <w:pPr>
        <w:ind w:left="2265" w:hanging="360"/>
      </w:pPr>
      <w:rPr>
        <w:rFonts w:ascii="Wingdings" w:hAnsi="Wingdings" w:hint="default"/>
      </w:rPr>
    </w:lvl>
    <w:lvl w:ilvl="3" w:tplc="04070001" w:tentative="1">
      <w:start w:val="1"/>
      <w:numFmt w:val="bullet"/>
      <w:lvlText w:val=""/>
      <w:lvlJc w:val="left"/>
      <w:pPr>
        <w:ind w:left="2985" w:hanging="360"/>
      </w:pPr>
      <w:rPr>
        <w:rFonts w:ascii="Symbol" w:hAnsi="Symbol" w:hint="default"/>
      </w:rPr>
    </w:lvl>
    <w:lvl w:ilvl="4" w:tplc="04070003" w:tentative="1">
      <w:start w:val="1"/>
      <w:numFmt w:val="bullet"/>
      <w:lvlText w:val="o"/>
      <w:lvlJc w:val="left"/>
      <w:pPr>
        <w:ind w:left="3705" w:hanging="360"/>
      </w:pPr>
      <w:rPr>
        <w:rFonts w:ascii="Courier New" w:hAnsi="Courier New" w:hint="default"/>
      </w:rPr>
    </w:lvl>
    <w:lvl w:ilvl="5" w:tplc="04070005" w:tentative="1">
      <w:start w:val="1"/>
      <w:numFmt w:val="bullet"/>
      <w:lvlText w:val=""/>
      <w:lvlJc w:val="left"/>
      <w:pPr>
        <w:ind w:left="4425" w:hanging="360"/>
      </w:pPr>
      <w:rPr>
        <w:rFonts w:ascii="Wingdings" w:hAnsi="Wingdings" w:hint="default"/>
      </w:rPr>
    </w:lvl>
    <w:lvl w:ilvl="6" w:tplc="04070001" w:tentative="1">
      <w:start w:val="1"/>
      <w:numFmt w:val="bullet"/>
      <w:lvlText w:val=""/>
      <w:lvlJc w:val="left"/>
      <w:pPr>
        <w:ind w:left="5145" w:hanging="360"/>
      </w:pPr>
      <w:rPr>
        <w:rFonts w:ascii="Symbol" w:hAnsi="Symbol" w:hint="default"/>
      </w:rPr>
    </w:lvl>
    <w:lvl w:ilvl="7" w:tplc="04070003" w:tentative="1">
      <w:start w:val="1"/>
      <w:numFmt w:val="bullet"/>
      <w:lvlText w:val="o"/>
      <w:lvlJc w:val="left"/>
      <w:pPr>
        <w:ind w:left="5865" w:hanging="360"/>
      </w:pPr>
      <w:rPr>
        <w:rFonts w:ascii="Courier New" w:hAnsi="Courier New" w:hint="default"/>
      </w:rPr>
    </w:lvl>
    <w:lvl w:ilvl="8" w:tplc="04070005" w:tentative="1">
      <w:start w:val="1"/>
      <w:numFmt w:val="bullet"/>
      <w:lvlText w:val=""/>
      <w:lvlJc w:val="left"/>
      <w:pPr>
        <w:ind w:left="6585"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15:restartNumberingAfterBreak="0">
    <w:nsid w:val="4A810019"/>
    <w:multiLevelType w:val="singleLevel"/>
    <w:tmpl w:val="FFFFFFFF"/>
    <w:lvl w:ilvl="0">
      <w:start w:val="1"/>
      <w:numFmt w:val="bullet"/>
      <w:lvlText w:val="-"/>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lvlOverride w:ilvl="0">
      <w:lvl w:ilvl="0">
        <w:start w:val="1"/>
        <w:numFmt w:val="bullet"/>
        <w:lvlText w:val="-"/>
        <w:lvlJc w:val="left"/>
        <w:pPr>
          <w:ind w:left="360" w:hanging="360"/>
        </w:pPr>
      </w:lvl>
    </w:lvlOverride>
  </w:num>
  <w:num w:numId="2">
    <w:abstractNumId w:val="0"/>
    <w:lvlOverride w:ilvl="0">
      <w:lvl w:ilvl="0">
        <w:start w:val="1"/>
        <w:numFmt w:val="bullet"/>
        <w:lvlText w:val=""/>
        <w:lvlJc w:val="left"/>
        <w:pPr>
          <w:ind w:left="360" w:hanging="360"/>
        </w:pPr>
        <w:rPr>
          <w:rFonts w:ascii="Symbol" w:hAnsi="Symbol" w:hint="default"/>
        </w:rPr>
      </w:lvl>
    </w:lvlOverride>
  </w:num>
  <w:num w:numId="3">
    <w:abstractNumId w:val="32"/>
  </w:num>
  <w:num w:numId="4">
    <w:abstractNumId w:val="31"/>
  </w:num>
  <w:num w:numId="5">
    <w:abstractNumId w:val="14"/>
  </w:num>
  <w:num w:numId="6">
    <w:abstractNumId w:val="24"/>
  </w:num>
  <w:num w:numId="7">
    <w:abstractNumId w:val="19"/>
  </w:num>
  <w:num w:numId="8">
    <w:abstractNumId w:val="9"/>
  </w:num>
  <w:num w:numId="9">
    <w:abstractNumId w:val="29"/>
  </w:num>
  <w:num w:numId="10">
    <w:abstractNumId w:val="30"/>
  </w:num>
  <w:num w:numId="11">
    <w:abstractNumId w:val="16"/>
  </w:num>
  <w:num w:numId="12">
    <w:abstractNumId w:val="15"/>
  </w:num>
  <w:num w:numId="13">
    <w:abstractNumId w:val="3"/>
  </w:num>
  <w:num w:numId="14">
    <w:abstractNumId w:val="28"/>
  </w:num>
  <w:num w:numId="15">
    <w:abstractNumId w:val="18"/>
  </w:num>
  <w:num w:numId="16">
    <w:abstractNumId w:val="33"/>
  </w:num>
  <w:num w:numId="17">
    <w:abstractNumId w:val="10"/>
  </w:num>
  <w:num w:numId="18">
    <w:abstractNumId w:val="1"/>
  </w:num>
  <w:num w:numId="19">
    <w:abstractNumId w:val="17"/>
  </w:num>
  <w:num w:numId="20">
    <w:abstractNumId w:val="4"/>
  </w:num>
  <w:num w:numId="21">
    <w:abstractNumId w:val="8"/>
  </w:num>
  <w:num w:numId="22">
    <w:abstractNumId w:val="26"/>
  </w:num>
  <w:num w:numId="23">
    <w:abstractNumId w:val="34"/>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5"/>
  </w:num>
  <w:num w:numId="31">
    <w:abstractNumId w:val="36"/>
  </w:num>
  <w:num w:numId="32">
    <w:abstractNumId w:val="20"/>
  </w:num>
  <w:num w:numId="33">
    <w:abstractNumId w:val="27"/>
  </w:num>
  <w:num w:numId="34">
    <w:abstractNumId w:val="23"/>
  </w:num>
  <w:num w:numId="35">
    <w:abstractNumId w:val="2"/>
  </w:num>
  <w:num w:numId="36">
    <w:abstractNumId w:val="5"/>
  </w:num>
  <w:num w:numId="37">
    <w:abstractNumId w:val="2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114FF"/>
    <w:rsid w:val="000133F5"/>
    <w:rsid w:val="00021B82"/>
    <w:rsid w:val="0002449B"/>
    <w:rsid w:val="00024777"/>
    <w:rsid w:val="00024E21"/>
    <w:rsid w:val="0002682F"/>
    <w:rsid w:val="00027C94"/>
    <w:rsid w:val="00036C50"/>
    <w:rsid w:val="00052D2B"/>
    <w:rsid w:val="00054F55"/>
    <w:rsid w:val="00062945"/>
    <w:rsid w:val="000706F5"/>
    <w:rsid w:val="00080453"/>
    <w:rsid w:val="0008169A"/>
    <w:rsid w:val="000860CE"/>
    <w:rsid w:val="00092A37"/>
    <w:rsid w:val="000938A6"/>
    <w:rsid w:val="00097C1E"/>
    <w:rsid w:val="000A10C3"/>
    <w:rsid w:val="000A13FE"/>
    <w:rsid w:val="000A1DF5"/>
    <w:rsid w:val="000B192F"/>
    <w:rsid w:val="000B7873"/>
    <w:rsid w:val="000C02A1"/>
    <w:rsid w:val="000C1D4F"/>
    <w:rsid w:val="000C687A"/>
    <w:rsid w:val="000D00E9"/>
    <w:rsid w:val="000D2EBA"/>
    <w:rsid w:val="000D31CE"/>
    <w:rsid w:val="000D5111"/>
    <w:rsid w:val="000D67D0"/>
    <w:rsid w:val="000E195C"/>
    <w:rsid w:val="000E3602"/>
    <w:rsid w:val="000F38DA"/>
    <w:rsid w:val="000F5822"/>
    <w:rsid w:val="000F796B"/>
    <w:rsid w:val="0010031E"/>
    <w:rsid w:val="001012EB"/>
    <w:rsid w:val="00107365"/>
    <w:rsid w:val="001078D1"/>
    <w:rsid w:val="00115782"/>
    <w:rsid w:val="00124F36"/>
    <w:rsid w:val="00125666"/>
    <w:rsid w:val="00125C80"/>
    <w:rsid w:val="0013799F"/>
    <w:rsid w:val="00140DF6"/>
    <w:rsid w:val="00145C3F"/>
    <w:rsid w:val="00145D34"/>
    <w:rsid w:val="00146284"/>
    <w:rsid w:val="0014690F"/>
    <w:rsid w:val="001469B3"/>
    <w:rsid w:val="0015098E"/>
    <w:rsid w:val="001637BB"/>
    <w:rsid w:val="00165824"/>
    <w:rsid w:val="001674D3"/>
    <w:rsid w:val="00175264"/>
    <w:rsid w:val="001803D2"/>
    <w:rsid w:val="0018228B"/>
    <w:rsid w:val="00185B50"/>
    <w:rsid w:val="0018625C"/>
    <w:rsid w:val="00187DE7"/>
    <w:rsid w:val="00187E62"/>
    <w:rsid w:val="00192045"/>
    <w:rsid w:val="00193B14"/>
    <w:rsid w:val="00193E72"/>
    <w:rsid w:val="001942F4"/>
    <w:rsid w:val="00195267"/>
    <w:rsid w:val="0019600B"/>
    <w:rsid w:val="0019686E"/>
    <w:rsid w:val="00197FB2"/>
    <w:rsid w:val="001A0E2C"/>
    <w:rsid w:val="001A28C9"/>
    <w:rsid w:val="001A2CB6"/>
    <w:rsid w:val="001A34BC"/>
    <w:rsid w:val="001B1C77"/>
    <w:rsid w:val="001B6C09"/>
    <w:rsid w:val="001B6F4A"/>
    <w:rsid w:val="001C2A86"/>
    <w:rsid w:val="001C5288"/>
    <w:rsid w:val="001C5B03"/>
    <w:rsid w:val="001D6D96"/>
    <w:rsid w:val="001D7AE4"/>
    <w:rsid w:val="001E0E77"/>
    <w:rsid w:val="001E3760"/>
    <w:rsid w:val="001E5621"/>
    <w:rsid w:val="001F1395"/>
    <w:rsid w:val="001F3EF9"/>
    <w:rsid w:val="001F5512"/>
    <w:rsid w:val="001F627D"/>
    <w:rsid w:val="001F6622"/>
    <w:rsid w:val="001F69FE"/>
    <w:rsid w:val="002100FC"/>
    <w:rsid w:val="002109F5"/>
    <w:rsid w:val="00210CB0"/>
    <w:rsid w:val="00213890"/>
    <w:rsid w:val="00214E52"/>
    <w:rsid w:val="002207C0"/>
    <w:rsid w:val="00224B93"/>
    <w:rsid w:val="0023621D"/>
    <w:rsid w:val="0023676E"/>
    <w:rsid w:val="002414B6"/>
    <w:rsid w:val="002422EB"/>
    <w:rsid w:val="00242397"/>
    <w:rsid w:val="00250DD1"/>
    <w:rsid w:val="00251183"/>
    <w:rsid w:val="00251689"/>
    <w:rsid w:val="0025267C"/>
    <w:rsid w:val="00253B6B"/>
    <w:rsid w:val="00253B6D"/>
    <w:rsid w:val="00260E75"/>
    <w:rsid w:val="00265656"/>
    <w:rsid w:val="00265E77"/>
    <w:rsid w:val="00266155"/>
    <w:rsid w:val="0027270B"/>
    <w:rsid w:val="002838C8"/>
    <w:rsid w:val="00290805"/>
    <w:rsid w:val="00290C2A"/>
    <w:rsid w:val="002931DD"/>
    <w:rsid w:val="002947A3"/>
    <w:rsid w:val="002976FA"/>
    <w:rsid w:val="002A0E7C"/>
    <w:rsid w:val="002A21ED"/>
    <w:rsid w:val="002A3F88"/>
    <w:rsid w:val="002B0F11"/>
    <w:rsid w:val="002B0FDB"/>
    <w:rsid w:val="002C55FF"/>
    <w:rsid w:val="002C592B"/>
    <w:rsid w:val="002E046C"/>
    <w:rsid w:val="002E3A90"/>
    <w:rsid w:val="002E46CC"/>
    <w:rsid w:val="002E4F48"/>
    <w:rsid w:val="002E62CB"/>
    <w:rsid w:val="002E6DF1"/>
    <w:rsid w:val="002E6ED9"/>
    <w:rsid w:val="002F0957"/>
    <w:rsid w:val="002F41AD"/>
    <w:rsid w:val="002F43F6"/>
    <w:rsid w:val="002F71D5"/>
    <w:rsid w:val="00300576"/>
    <w:rsid w:val="003020BB"/>
    <w:rsid w:val="00302803"/>
    <w:rsid w:val="00304393"/>
    <w:rsid w:val="00305AB2"/>
    <w:rsid w:val="0031032B"/>
    <w:rsid w:val="0031337D"/>
    <w:rsid w:val="00316E87"/>
    <w:rsid w:val="00317E8A"/>
    <w:rsid w:val="0032453E"/>
    <w:rsid w:val="00325053"/>
    <w:rsid w:val="003256AC"/>
    <w:rsid w:val="0033129D"/>
    <w:rsid w:val="003320ED"/>
    <w:rsid w:val="0033480E"/>
    <w:rsid w:val="00337123"/>
    <w:rsid w:val="00341866"/>
    <w:rsid w:val="003535E0"/>
    <w:rsid w:val="00365900"/>
    <w:rsid w:val="00366F56"/>
    <w:rsid w:val="003737C8"/>
    <w:rsid w:val="0037589D"/>
    <w:rsid w:val="00376BB1"/>
    <w:rsid w:val="00377E23"/>
    <w:rsid w:val="0038277C"/>
    <w:rsid w:val="00385C35"/>
    <w:rsid w:val="003909E0"/>
    <w:rsid w:val="00390CF6"/>
    <w:rsid w:val="00393E09"/>
    <w:rsid w:val="00395B15"/>
    <w:rsid w:val="00396026"/>
    <w:rsid w:val="003A3E2F"/>
    <w:rsid w:val="003A6CCB"/>
    <w:rsid w:val="003B10C4"/>
    <w:rsid w:val="003B48EB"/>
    <w:rsid w:val="003B53B5"/>
    <w:rsid w:val="003C33FF"/>
    <w:rsid w:val="003C4F40"/>
    <w:rsid w:val="003C64A5"/>
    <w:rsid w:val="003D03CC"/>
    <w:rsid w:val="003D4BB7"/>
    <w:rsid w:val="003E0116"/>
    <w:rsid w:val="003E26C3"/>
    <w:rsid w:val="003E4ECD"/>
    <w:rsid w:val="003E7DA0"/>
    <w:rsid w:val="003E7DBE"/>
    <w:rsid w:val="003F0D6C"/>
    <w:rsid w:val="003F0F26"/>
    <w:rsid w:val="003F12D9"/>
    <w:rsid w:val="003F1B4C"/>
    <w:rsid w:val="004008F6"/>
    <w:rsid w:val="00401F34"/>
    <w:rsid w:val="00406374"/>
    <w:rsid w:val="00412BBE"/>
    <w:rsid w:val="00414B20"/>
    <w:rsid w:val="00416515"/>
    <w:rsid w:val="00417DE3"/>
    <w:rsid w:val="00420850"/>
    <w:rsid w:val="00423968"/>
    <w:rsid w:val="00426933"/>
    <w:rsid w:val="00427054"/>
    <w:rsid w:val="004304B1"/>
    <w:rsid w:val="004305F9"/>
    <w:rsid w:val="0043320A"/>
    <w:rsid w:val="004332E3"/>
    <w:rsid w:val="004434DF"/>
    <w:rsid w:val="004518A6"/>
    <w:rsid w:val="0045228F"/>
    <w:rsid w:val="00453E1D"/>
    <w:rsid w:val="00454589"/>
    <w:rsid w:val="00456ED0"/>
    <w:rsid w:val="00457550"/>
    <w:rsid w:val="00466742"/>
    <w:rsid w:val="00473450"/>
    <w:rsid w:val="00474C50"/>
    <w:rsid w:val="00474FBF"/>
    <w:rsid w:val="004771F9"/>
    <w:rsid w:val="004822D1"/>
    <w:rsid w:val="00483834"/>
    <w:rsid w:val="00486006"/>
    <w:rsid w:val="00486BAD"/>
    <w:rsid w:val="00486BBE"/>
    <w:rsid w:val="00487123"/>
    <w:rsid w:val="004907BC"/>
    <w:rsid w:val="004912FA"/>
    <w:rsid w:val="0049282C"/>
    <w:rsid w:val="00496F77"/>
    <w:rsid w:val="004A1BD5"/>
    <w:rsid w:val="004A61E1"/>
    <w:rsid w:val="004B0067"/>
    <w:rsid w:val="004B2344"/>
    <w:rsid w:val="004B3FB8"/>
    <w:rsid w:val="004B5DDC"/>
    <w:rsid w:val="004B798E"/>
    <w:rsid w:val="004C2ABD"/>
    <w:rsid w:val="004C6B87"/>
    <w:rsid w:val="004D3E58"/>
    <w:rsid w:val="004D52E0"/>
    <w:rsid w:val="004D59F2"/>
    <w:rsid w:val="004D655E"/>
    <w:rsid w:val="004D6746"/>
    <w:rsid w:val="004D767B"/>
    <w:rsid w:val="004E0F32"/>
    <w:rsid w:val="004E1AD6"/>
    <w:rsid w:val="004E23A1"/>
    <w:rsid w:val="004E7092"/>
    <w:rsid w:val="004E7ECE"/>
    <w:rsid w:val="004F015F"/>
    <w:rsid w:val="004F2051"/>
    <w:rsid w:val="004F6F64"/>
    <w:rsid w:val="005004EC"/>
    <w:rsid w:val="00510790"/>
    <w:rsid w:val="00512182"/>
    <w:rsid w:val="00517756"/>
    <w:rsid w:val="005202C6"/>
    <w:rsid w:val="00523C53"/>
    <w:rsid w:val="00527B8F"/>
    <w:rsid w:val="005329DD"/>
    <w:rsid w:val="00533C6F"/>
    <w:rsid w:val="00536F0E"/>
    <w:rsid w:val="00542012"/>
    <w:rsid w:val="0054351A"/>
    <w:rsid w:val="00543DF5"/>
    <w:rsid w:val="0055260D"/>
    <w:rsid w:val="00555422"/>
    <w:rsid w:val="00555810"/>
    <w:rsid w:val="00556183"/>
    <w:rsid w:val="00562DCA"/>
    <w:rsid w:val="0056568F"/>
    <w:rsid w:val="00565811"/>
    <w:rsid w:val="00582578"/>
    <w:rsid w:val="0058549E"/>
    <w:rsid w:val="005A4C0B"/>
    <w:rsid w:val="005B04A8"/>
    <w:rsid w:val="005B28AD"/>
    <w:rsid w:val="005B328D"/>
    <w:rsid w:val="005B3503"/>
    <w:rsid w:val="005B3EE7"/>
    <w:rsid w:val="005B4DCD"/>
    <w:rsid w:val="005B4FAD"/>
    <w:rsid w:val="005D380C"/>
    <w:rsid w:val="005D6E04"/>
    <w:rsid w:val="005D7A12"/>
    <w:rsid w:val="005E53EE"/>
    <w:rsid w:val="005F0542"/>
    <w:rsid w:val="005F0F72"/>
    <w:rsid w:val="005F1C1F"/>
    <w:rsid w:val="005F346D"/>
    <w:rsid w:val="005F38FB"/>
    <w:rsid w:val="005F44C2"/>
    <w:rsid w:val="005F732E"/>
    <w:rsid w:val="00602D3B"/>
    <w:rsid w:val="00606EA1"/>
    <w:rsid w:val="006128F0"/>
    <w:rsid w:val="0061726B"/>
    <w:rsid w:val="0062387A"/>
    <w:rsid w:val="00627222"/>
    <w:rsid w:val="00632E1C"/>
    <w:rsid w:val="0063377D"/>
    <w:rsid w:val="006344BE"/>
    <w:rsid w:val="00634A66"/>
    <w:rsid w:val="00640336"/>
    <w:rsid w:val="00640FC9"/>
    <w:rsid w:val="006432F2"/>
    <w:rsid w:val="00645635"/>
    <w:rsid w:val="006464B8"/>
    <w:rsid w:val="0065320F"/>
    <w:rsid w:val="00653D64"/>
    <w:rsid w:val="00654CDC"/>
    <w:rsid w:val="00654E13"/>
    <w:rsid w:val="00660A42"/>
    <w:rsid w:val="00667489"/>
    <w:rsid w:val="00670CF1"/>
    <w:rsid w:val="00670D44"/>
    <w:rsid w:val="00676AFC"/>
    <w:rsid w:val="006807CD"/>
    <w:rsid w:val="00681D03"/>
    <w:rsid w:val="006827C2"/>
    <w:rsid w:val="00682D43"/>
    <w:rsid w:val="00685202"/>
    <w:rsid w:val="00685BAF"/>
    <w:rsid w:val="006931AF"/>
    <w:rsid w:val="006A04B5"/>
    <w:rsid w:val="006A0D03"/>
    <w:rsid w:val="006A41E9"/>
    <w:rsid w:val="006B12CB"/>
    <w:rsid w:val="006B5916"/>
    <w:rsid w:val="006B5D24"/>
    <w:rsid w:val="006C4775"/>
    <w:rsid w:val="006C4F4A"/>
    <w:rsid w:val="006C5E80"/>
    <w:rsid w:val="006C7CEE"/>
    <w:rsid w:val="006D075E"/>
    <w:rsid w:val="006D6BC2"/>
    <w:rsid w:val="006D7C6E"/>
    <w:rsid w:val="006E2F95"/>
    <w:rsid w:val="006E5AC1"/>
    <w:rsid w:val="006F7F69"/>
    <w:rsid w:val="00702E61"/>
    <w:rsid w:val="007044D1"/>
    <w:rsid w:val="00705EAF"/>
    <w:rsid w:val="007101CC"/>
    <w:rsid w:val="00713349"/>
    <w:rsid w:val="00724E3B"/>
    <w:rsid w:val="00725EEA"/>
    <w:rsid w:val="00730CE9"/>
    <w:rsid w:val="0073373D"/>
    <w:rsid w:val="007364F6"/>
    <w:rsid w:val="00736D3D"/>
    <w:rsid w:val="007439DB"/>
    <w:rsid w:val="00751FA5"/>
    <w:rsid w:val="007550A8"/>
    <w:rsid w:val="007568D8"/>
    <w:rsid w:val="0076253D"/>
    <w:rsid w:val="00765316"/>
    <w:rsid w:val="00766F29"/>
    <w:rsid w:val="007708C8"/>
    <w:rsid w:val="00774B39"/>
    <w:rsid w:val="00774E6E"/>
    <w:rsid w:val="0077719D"/>
    <w:rsid w:val="00780DF0"/>
    <w:rsid w:val="00782F0F"/>
    <w:rsid w:val="00787482"/>
    <w:rsid w:val="007900C3"/>
    <w:rsid w:val="00794674"/>
    <w:rsid w:val="007A286D"/>
    <w:rsid w:val="007A38DF"/>
    <w:rsid w:val="007A6447"/>
    <w:rsid w:val="007A7B89"/>
    <w:rsid w:val="007B20CF"/>
    <w:rsid w:val="007B2499"/>
    <w:rsid w:val="007B72E1"/>
    <w:rsid w:val="007B783A"/>
    <w:rsid w:val="007B7AD6"/>
    <w:rsid w:val="007C1B95"/>
    <w:rsid w:val="007C5931"/>
    <w:rsid w:val="007C5D67"/>
    <w:rsid w:val="007D0CEA"/>
    <w:rsid w:val="007D66D0"/>
    <w:rsid w:val="007D73FB"/>
    <w:rsid w:val="007E2F2D"/>
    <w:rsid w:val="007E6F62"/>
    <w:rsid w:val="007F1433"/>
    <w:rsid w:val="007F1491"/>
    <w:rsid w:val="007F1CE2"/>
    <w:rsid w:val="007F2F03"/>
    <w:rsid w:val="007F77B7"/>
    <w:rsid w:val="00800FE0"/>
    <w:rsid w:val="008066AD"/>
    <w:rsid w:val="00814AF1"/>
    <w:rsid w:val="0081517F"/>
    <w:rsid w:val="00815370"/>
    <w:rsid w:val="0082153D"/>
    <w:rsid w:val="00823F9D"/>
    <w:rsid w:val="008255AA"/>
    <w:rsid w:val="00827627"/>
    <w:rsid w:val="00830FF3"/>
    <w:rsid w:val="00832794"/>
    <w:rsid w:val="008334BF"/>
    <w:rsid w:val="00833ACE"/>
    <w:rsid w:val="00836B8C"/>
    <w:rsid w:val="00840062"/>
    <w:rsid w:val="008410C5"/>
    <w:rsid w:val="008442C1"/>
    <w:rsid w:val="00846C08"/>
    <w:rsid w:val="008530E7"/>
    <w:rsid w:val="008543BB"/>
    <w:rsid w:val="00856127"/>
    <w:rsid w:val="00856BDB"/>
    <w:rsid w:val="00857675"/>
    <w:rsid w:val="00864794"/>
    <w:rsid w:val="00875EC3"/>
    <w:rsid w:val="008763E7"/>
    <w:rsid w:val="008808C5"/>
    <w:rsid w:val="00881A7C"/>
    <w:rsid w:val="00883C78"/>
    <w:rsid w:val="00885159"/>
    <w:rsid w:val="00885214"/>
    <w:rsid w:val="00885BAB"/>
    <w:rsid w:val="00887615"/>
    <w:rsid w:val="00887C62"/>
    <w:rsid w:val="00890052"/>
    <w:rsid w:val="00893E48"/>
    <w:rsid w:val="00894E3A"/>
    <w:rsid w:val="00895217"/>
    <w:rsid w:val="00895A2F"/>
    <w:rsid w:val="00896EBD"/>
    <w:rsid w:val="008A28A4"/>
    <w:rsid w:val="008A5665"/>
    <w:rsid w:val="008B06BF"/>
    <w:rsid w:val="008B24A8"/>
    <w:rsid w:val="008B25E4"/>
    <w:rsid w:val="008B3D78"/>
    <w:rsid w:val="008C261B"/>
    <w:rsid w:val="008C4FCA"/>
    <w:rsid w:val="008C7882"/>
    <w:rsid w:val="008C7B5F"/>
    <w:rsid w:val="008D2261"/>
    <w:rsid w:val="008D4C28"/>
    <w:rsid w:val="008D577B"/>
    <w:rsid w:val="008D5CEA"/>
    <w:rsid w:val="008D7A98"/>
    <w:rsid w:val="008E17C4"/>
    <w:rsid w:val="008E45C4"/>
    <w:rsid w:val="008E64B1"/>
    <w:rsid w:val="008E64FA"/>
    <w:rsid w:val="008E74ED"/>
    <w:rsid w:val="008E7DE2"/>
    <w:rsid w:val="008F4DEF"/>
    <w:rsid w:val="008F4EF2"/>
    <w:rsid w:val="00903D0D"/>
    <w:rsid w:val="00904355"/>
    <w:rsid w:val="009048E1"/>
    <w:rsid w:val="0090598C"/>
    <w:rsid w:val="009071BB"/>
    <w:rsid w:val="00913885"/>
    <w:rsid w:val="009143F2"/>
    <w:rsid w:val="009173F5"/>
    <w:rsid w:val="00931112"/>
    <w:rsid w:val="00931D41"/>
    <w:rsid w:val="00933D18"/>
    <w:rsid w:val="00934D0F"/>
    <w:rsid w:val="00935FE3"/>
    <w:rsid w:val="00942221"/>
    <w:rsid w:val="00950FBB"/>
    <w:rsid w:val="0095122F"/>
    <w:rsid w:val="00953349"/>
    <w:rsid w:val="00954E0C"/>
    <w:rsid w:val="00961156"/>
    <w:rsid w:val="00964F03"/>
    <w:rsid w:val="00966F1F"/>
    <w:rsid w:val="00975676"/>
    <w:rsid w:val="00976467"/>
    <w:rsid w:val="0097656F"/>
    <w:rsid w:val="00976D32"/>
    <w:rsid w:val="009844F7"/>
    <w:rsid w:val="00986D86"/>
    <w:rsid w:val="009938F7"/>
    <w:rsid w:val="009944D6"/>
    <w:rsid w:val="009A05AA"/>
    <w:rsid w:val="009A2D5A"/>
    <w:rsid w:val="009A4ECE"/>
    <w:rsid w:val="009A6F19"/>
    <w:rsid w:val="009B2C7E"/>
    <w:rsid w:val="009B3B74"/>
    <w:rsid w:val="009B6DBD"/>
    <w:rsid w:val="009C108A"/>
    <w:rsid w:val="009C2E47"/>
    <w:rsid w:val="009C6BFB"/>
    <w:rsid w:val="009D0C05"/>
    <w:rsid w:val="009D0F03"/>
    <w:rsid w:val="009D4E7A"/>
    <w:rsid w:val="009E2C00"/>
    <w:rsid w:val="009E49AD"/>
    <w:rsid w:val="009E70F4"/>
    <w:rsid w:val="009F1AD2"/>
    <w:rsid w:val="009F4326"/>
    <w:rsid w:val="009F6BAE"/>
    <w:rsid w:val="00A0479E"/>
    <w:rsid w:val="00A07979"/>
    <w:rsid w:val="00A11755"/>
    <w:rsid w:val="00A14BCB"/>
    <w:rsid w:val="00A207FB"/>
    <w:rsid w:val="00A24016"/>
    <w:rsid w:val="00A25CF6"/>
    <w:rsid w:val="00A265BF"/>
    <w:rsid w:val="00A26F44"/>
    <w:rsid w:val="00A32ABB"/>
    <w:rsid w:val="00A32BE4"/>
    <w:rsid w:val="00A34FAB"/>
    <w:rsid w:val="00A3622C"/>
    <w:rsid w:val="00A42457"/>
    <w:rsid w:val="00A4313D"/>
    <w:rsid w:val="00A44004"/>
    <w:rsid w:val="00A44C4B"/>
    <w:rsid w:val="00A50120"/>
    <w:rsid w:val="00A50307"/>
    <w:rsid w:val="00A562FE"/>
    <w:rsid w:val="00A60351"/>
    <w:rsid w:val="00A61C6D"/>
    <w:rsid w:val="00A63015"/>
    <w:rsid w:val="00A66254"/>
    <w:rsid w:val="00A678B4"/>
    <w:rsid w:val="00A704A3"/>
    <w:rsid w:val="00A75E23"/>
    <w:rsid w:val="00A82AA0"/>
    <w:rsid w:val="00A82EC5"/>
    <w:rsid w:val="00A82F8A"/>
    <w:rsid w:val="00A84BF0"/>
    <w:rsid w:val="00A8585D"/>
    <w:rsid w:val="00A921A5"/>
    <w:rsid w:val="00A9226B"/>
    <w:rsid w:val="00A9575C"/>
    <w:rsid w:val="00A95B56"/>
    <w:rsid w:val="00A969AF"/>
    <w:rsid w:val="00AB1A2E"/>
    <w:rsid w:val="00AB2C20"/>
    <w:rsid w:val="00AB328A"/>
    <w:rsid w:val="00AB4918"/>
    <w:rsid w:val="00AB4BC8"/>
    <w:rsid w:val="00AB6BA7"/>
    <w:rsid w:val="00AB7BE8"/>
    <w:rsid w:val="00AD0710"/>
    <w:rsid w:val="00AD19FE"/>
    <w:rsid w:val="00AD4838"/>
    <w:rsid w:val="00AD4B98"/>
    <w:rsid w:val="00AD4DB9"/>
    <w:rsid w:val="00AD5557"/>
    <w:rsid w:val="00AD63C0"/>
    <w:rsid w:val="00AE35B2"/>
    <w:rsid w:val="00AE5A9A"/>
    <w:rsid w:val="00AE6AA0"/>
    <w:rsid w:val="00AF034E"/>
    <w:rsid w:val="00AF0F6C"/>
    <w:rsid w:val="00AF4890"/>
    <w:rsid w:val="00B01E5B"/>
    <w:rsid w:val="00B0793E"/>
    <w:rsid w:val="00B119A2"/>
    <w:rsid w:val="00B11A9C"/>
    <w:rsid w:val="00B177F2"/>
    <w:rsid w:val="00B201F1"/>
    <w:rsid w:val="00B304E7"/>
    <w:rsid w:val="00B318B6"/>
    <w:rsid w:val="00B34DF6"/>
    <w:rsid w:val="00B367EE"/>
    <w:rsid w:val="00B41F47"/>
    <w:rsid w:val="00B60AC9"/>
    <w:rsid w:val="00B67323"/>
    <w:rsid w:val="00B715F2"/>
    <w:rsid w:val="00B74071"/>
    <w:rsid w:val="00B74187"/>
    <w:rsid w:val="00B7428E"/>
    <w:rsid w:val="00B74B67"/>
    <w:rsid w:val="00B779AA"/>
    <w:rsid w:val="00B81C95"/>
    <w:rsid w:val="00B82330"/>
    <w:rsid w:val="00B82ED4"/>
    <w:rsid w:val="00B8424F"/>
    <w:rsid w:val="00B86542"/>
    <w:rsid w:val="00B86896"/>
    <w:rsid w:val="00B875A6"/>
    <w:rsid w:val="00B9314C"/>
    <w:rsid w:val="00B93E4C"/>
    <w:rsid w:val="00B94A1B"/>
    <w:rsid w:val="00BA456C"/>
    <w:rsid w:val="00BA5C89"/>
    <w:rsid w:val="00BB4CE2"/>
    <w:rsid w:val="00BB5EF0"/>
    <w:rsid w:val="00BB6724"/>
    <w:rsid w:val="00BC0EFB"/>
    <w:rsid w:val="00BC2E39"/>
    <w:rsid w:val="00BD2364"/>
    <w:rsid w:val="00BD2365"/>
    <w:rsid w:val="00BD28E3"/>
    <w:rsid w:val="00BD6F60"/>
    <w:rsid w:val="00BE3261"/>
    <w:rsid w:val="00BE4505"/>
    <w:rsid w:val="00BF134F"/>
    <w:rsid w:val="00BF2348"/>
    <w:rsid w:val="00BF3690"/>
    <w:rsid w:val="00BF4C5C"/>
    <w:rsid w:val="00BF58FC"/>
    <w:rsid w:val="00C01F77"/>
    <w:rsid w:val="00C01FFC"/>
    <w:rsid w:val="00C02710"/>
    <w:rsid w:val="00C048BB"/>
    <w:rsid w:val="00C06AE4"/>
    <w:rsid w:val="00C10435"/>
    <w:rsid w:val="00C114FF"/>
    <w:rsid w:val="00C171A1"/>
    <w:rsid w:val="00C171A4"/>
    <w:rsid w:val="00C17F12"/>
    <w:rsid w:val="00C20BEB"/>
    <w:rsid w:val="00C21C1A"/>
    <w:rsid w:val="00C237E9"/>
    <w:rsid w:val="00C32989"/>
    <w:rsid w:val="00C33E1D"/>
    <w:rsid w:val="00C36883"/>
    <w:rsid w:val="00C40928"/>
    <w:rsid w:val="00C42697"/>
    <w:rsid w:val="00C43F01"/>
    <w:rsid w:val="00C47552"/>
    <w:rsid w:val="00C51FDB"/>
    <w:rsid w:val="00C57A81"/>
    <w:rsid w:val="00C60193"/>
    <w:rsid w:val="00C634D4"/>
    <w:rsid w:val="00C63AA5"/>
    <w:rsid w:val="00C64A97"/>
    <w:rsid w:val="00C64CE7"/>
    <w:rsid w:val="00C65071"/>
    <w:rsid w:val="00C6727C"/>
    <w:rsid w:val="00C6744C"/>
    <w:rsid w:val="00C73134"/>
    <w:rsid w:val="00C73F6D"/>
    <w:rsid w:val="00C74F6E"/>
    <w:rsid w:val="00C77FA4"/>
    <w:rsid w:val="00C77FFA"/>
    <w:rsid w:val="00C80401"/>
    <w:rsid w:val="00C81C97"/>
    <w:rsid w:val="00C840C2"/>
    <w:rsid w:val="00C84101"/>
    <w:rsid w:val="00C8535F"/>
    <w:rsid w:val="00C85C1F"/>
    <w:rsid w:val="00C86474"/>
    <w:rsid w:val="00C90EDA"/>
    <w:rsid w:val="00C93878"/>
    <w:rsid w:val="00C959E7"/>
    <w:rsid w:val="00CA4E5E"/>
    <w:rsid w:val="00CB5092"/>
    <w:rsid w:val="00CC1E65"/>
    <w:rsid w:val="00CC209D"/>
    <w:rsid w:val="00CC567A"/>
    <w:rsid w:val="00CD00D9"/>
    <w:rsid w:val="00CD4059"/>
    <w:rsid w:val="00CD4E5A"/>
    <w:rsid w:val="00CE03CE"/>
    <w:rsid w:val="00CF0492"/>
    <w:rsid w:val="00CF0CFA"/>
    <w:rsid w:val="00CF0DFF"/>
    <w:rsid w:val="00D028A9"/>
    <w:rsid w:val="00D0359D"/>
    <w:rsid w:val="00D04DED"/>
    <w:rsid w:val="00D1087E"/>
    <w:rsid w:val="00D1089A"/>
    <w:rsid w:val="00D116BD"/>
    <w:rsid w:val="00D2001A"/>
    <w:rsid w:val="00D20684"/>
    <w:rsid w:val="00D232E4"/>
    <w:rsid w:val="00D26B62"/>
    <w:rsid w:val="00D301D7"/>
    <w:rsid w:val="00D3093E"/>
    <w:rsid w:val="00D32787"/>
    <w:rsid w:val="00D3691A"/>
    <w:rsid w:val="00D377E2"/>
    <w:rsid w:val="00D42DCB"/>
    <w:rsid w:val="00D45482"/>
    <w:rsid w:val="00D46DF2"/>
    <w:rsid w:val="00D47674"/>
    <w:rsid w:val="00D5338C"/>
    <w:rsid w:val="00D54F6B"/>
    <w:rsid w:val="00D606B2"/>
    <w:rsid w:val="00D625A7"/>
    <w:rsid w:val="00D64074"/>
    <w:rsid w:val="00D65777"/>
    <w:rsid w:val="00D66FAD"/>
    <w:rsid w:val="00D728A0"/>
    <w:rsid w:val="00D81C7B"/>
    <w:rsid w:val="00D83661"/>
    <w:rsid w:val="00D84A09"/>
    <w:rsid w:val="00D97E7D"/>
    <w:rsid w:val="00DA0FB7"/>
    <w:rsid w:val="00DA6A8A"/>
    <w:rsid w:val="00DB3439"/>
    <w:rsid w:val="00DB3618"/>
    <w:rsid w:val="00DC2946"/>
    <w:rsid w:val="00DC550F"/>
    <w:rsid w:val="00DC64FD"/>
    <w:rsid w:val="00DD368E"/>
    <w:rsid w:val="00DD7CE3"/>
    <w:rsid w:val="00DE127F"/>
    <w:rsid w:val="00DE15F0"/>
    <w:rsid w:val="00DE424A"/>
    <w:rsid w:val="00DE4419"/>
    <w:rsid w:val="00DF0ACA"/>
    <w:rsid w:val="00DF2245"/>
    <w:rsid w:val="00DF3E5B"/>
    <w:rsid w:val="00DF77CF"/>
    <w:rsid w:val="00E01731"/>
    <w:rsid w:val="00E026E8"/>
    <w:rsid w:val="00E05AF6"/>
    <w:rsid w:val="00E14C47"/>
    <w:rsid w:val="00E17D2A"/>
    <w:rsid w:val="00E22698"/>
    <w:rsid w:val="00E25B7C"/>
    <w:rsid w:val="00E3076B"/>
    <w:rsid w:val="00E3725B"/>
    <w:rsid w:val="00E434D1"/>
    <w:rsid w:val="00E56CBB"/>
    <w:rsid w:val="00E61950"/>
    <w:rsid w:val="00E61E51"/>
    <w:rsid w:val="00E64EBA"/>
    <w:rsid w:val="00E6552A"/>
    <w:rsid w:val="00E6707D"/>
    <w:rsid w:val="00E70E7C"/>
    <w:rsid w:val="00E71313"/>
    <w:rsid w:val="00E72606"/>
    <w:rsid w:val="00E73C3E"/>
    <w:rsid w:val="00E82496"/>
    <w:rsid w:val="00E834CD"/>
    <w:rsid w:val="00E84E9D"/>
    <w:rsid w:val="00E86CEE"/>
    <w:rsid w:val="00E935AF"/>
    <w:rsid w:val="00EB0E20"/>
    <w:rsid w:val="00EB1214"/>
    <w:rsid w:val="00EB1A80"/>
    <w:rsid w:val="00EB457B"/>
    <w:rsid w:val="00EC4F3A"/>
    <w:rsid w:val="00EC5E74"/>
    <w:rsid w:val="00ED594D"/>
    <w:rsid w:val="00EE36E1"/>
    <w:rsid w:val="00EE7B3F"/>
    <w:rsid w:val="00F0054D"/>
    <w:rsid w:val="00F00DB1"/>
    <w:rsid w:val="00F02467"/>
    <w:rsid w:val="00F04D0E"/>
    <w:rsid w:val="00F06C04"/>
    <w:rsid w:val="00F10999"/>
    <w:rsid w:val="00F12214"/>
    <w:rsid w:val="00F12565"/>
    <w:rsid w:val="00F14ACA"/>
    <w:rsid w:val="00F17E5E"/>
    <w:rsid w:val="00F22DAD"/>
    <w:rsid w:val="00F23927"/>
    <w:rsid w:val="00F24745"/>
    <w:rsid w:val="00F25E47"/>
    <w:rsid w:val="00F26A05"/>
    <w:rsid w:val="00F27456"/>
    <w:rsid w:val="00F307CE"/>
    <w:rsid w:val="00F354BF"/>
    <w:rsid w:val="00F37108"/>
    <w:rsid w:val="00F408B9"/>
    <w:rsid w:val="00F44F42"/>
    <w:rsid w:val="00F47BAA"/>
    <w:rsid w:val="00F52EAB"/>
    <w:rsid w:val="00F57F7D"/>
    <w:rsid w:val="00F61A31"/>
    <w:rsid w:val="00F64CBE"/>
    <w:rsid w:val="00F66745"/>
    <w:rsid w:val="00F67A2D"/>
    <w:rsid w:val="00F70A1B"/>
    <w:rsid w:val="00F70D3D"/>
    <w:rsid w:val="00F72FDF"/>
    <w:rsid w:val="00F7388E"/>
    <w:rsid w:val="00F75960"/>
    <w:rsid w:val="00F82526"/>
    <w:rsid w:val="00F84672"/>
    <w:rsid w:val="00F84802"/>
    <w:rsid w:val="00F85951"/>
    <w:rsid w:val="00F92828"/>
    <w:rsid w:val="00F95A8C"/>
    <w:rsid w:val="00FA06FD"/>
    <w:rsid w:val="00FA515B"/>
    <w:rsid w:val="00FA52DA"/>
    <w:rsid w:val="00FA6B90"/>
    <w:rsid w:val="00FA74CB"/>
    <w:rsid w:val="00FB0C2B"/>
    <w:rsid w:val="00FB1450"/>
    <w:rsid w:val="00FB1656"/>
    <w:rsid w:val="00FB207A"/>
    <w:rsid w:val="00FB2886"/>
    <w:rsid w:val="00FB466E"/>
    <w:rsid w:val="00FC3CFE"/>
    <w:rsid w:val="00FC752C"/>
    <w:rsid w:val="00FD0492"/>
    <w:rsid w:val="00FD13EC"/>
    <w:rsid w:val="00FD4DA8"/>
    <w:rsid w:val="00FD4EEF"/>
    <w:rsid w:val="00FD5461"/>
    <w:rsid w:val="00FD6BDB"/>
    <w:rsid w:val="00FD6F00"/>
    <w:rsid w:val="00FD7B98"/>
    <w:rsid w:val="00FE05B4"/>
    <w:rsid w:val="00FE5BB8"/>
    <w:rsid w:val="00FF18D2"/>
    <w:rsid w:val="00FF22F5"/>
    <w:rsid w:val="00FF4664"/>
    <w:rsid w:val="00FF4A99"/>
    <w:rsid w:val="00FF7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chartTrackingRefBased/>
  <w15:docId w15:val="{09BE5E1E-A3A1-48CD-8DC3-7F62D393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napToGrid w:val="0"/>
      <w:sz w:val="22"/>
      <w:lang w:val="en-GB"/>
    </w:rPr>
  </w:style>
  <w:style w:type="paragraph" w:styleId="Heading1">
    <w:name w:val="heading 1"/>
    <w:basedOn w:val="Normal"/>
    <w:next w:val="Normal"/>
    <w:link w:val="Heading1Char"/>
    <w:uiPriority w:val="9"/>
    <w:qFormat/>
    <w:pPr>
      <w:spacing w:before="240" w:after="120"/>
      <w:ind w:left="357" w:hanging="357"/>
      <w:outlineLvl w:val="0"/>
    </w:pPr>
    <w:rPr>
      <w:b/>
      <w:caps/>
      <w:sz w:val="26"/>
      <w:lang w:val="en-US"/>
    </w:rPr>
  </w:style>
  <w:style w:type="paragraph" w:styleId="Heading2">
    <w:name w:val="heading 2"/>
    <w:basedOn w:val="Normal"/>
    <w:next w:val="Normal"/>
    <w:link w:val="Heading2Char"/>
    <w:uiPriority w:val="9"/>
    <w:qFormat/>
    <w:pPr>
      <w:keepNext/>
      <w:spacing w:before="240" w:after="60"/>
      <w:outlineLvl w:val="1"/>
    </w:pPr>
    <w:rPr>
      <w:rFonts w:ascii="Helvetica" w:hAnsi="Helvetica"/>
      <w:b/>
      <w:i/>
      <w:sz w:val="24"/>
    </w:rPr>
  </w:style>
  <w:style w:type="paragraph" w:styleId="Heading3">
    <w:name w:val="heading 3"/>
    <w:basedOn w:val="Normal"/>
    <w:next w:val="Normal"/>
    <w:link w:val="Heading3Char"/>
    <w:uiPriority w:val="9"/>
    <w:qFormat/>
    <w:pPr>
      <w:keepNext/>
      <w:keepLines/>
      <w:spacing w:before="120" w:after="80"/>
      <w:outlineLvl w:val="2"/>
    </w:pPr>
    <w:rPr>
      <w:b/>
      <w:kern w:val="28"/>
      <w:sz w:val="24"/>
      <w:lang w:val="en-US"/>
    </w:rPr>
  </w:style>
  <w:style w:type="paragraph" w:styleId="Heading4">
    <w:name w:val="heading 4"/>
    <w:basedOn w:val="Normal"/>
    <w:next w:val="Normal"/>
    <w:link w:val="Heading4Char"/>
    <w:uiPriority w:val="9"/>
    <w:qFormat/>
    <w:pPr>
      <w:keepNext/>
      <w:tabs>
        <w:tab w:val="clear" w:pos="567"/>
      </w:tabs>
      <w:outlineLvl w:val="3"/>
    </w:pPr>
    <w:rPr>
      <w:b/>
      <w:noProof/>
      <w:lang w:val="en-US"/>
    </w:rPr>
  </w:style>
  <w:style w:type="paragraph" w:styleId="Heading5">
    <w:name w:val="heading 5"/>
    <w:basedOn w:val="Normal"/>
    <w:next w:val="Normal"/>
    <w:link w:val="Heading5Char"/>
    <w:uiPriority w:val="9"/>
    <w:qFormat/>
    <w:pPr>
      <w:keepNext/>
      <w:tabs>
        <w:tab w:val="clear" w:pos="567"/>
      </w:tabs>
      <w:jc w:val="center"/>
      <w:outlineLvl w:val="4"/>
    </w:pPr>
    <w:rPr>
      <w:b/>
      <w:noProof/>
      <w:lang w:val="en-US"/>
    </w:rPr>
  </w:style>
  <w:style w:type="paragraph" w:styleId="Heading6">
    <w:name w:val="heading 6"/>
    <w:basedOn w:val="Normal"/>
    <w:next w:val="Normal"/>
    <w:link w:val="Heading6Char"/>
    <w:uiPriority w:val="9"/>
    <w:qFormat/>
    <w:pPr>
      <w:keepNext/>
      <w:tabs>
        <w:tab w:val="left" w:pos="-720"/>
        <w:tab w:val="left" w:pos="4536"/>
      </w:tabs>
      <w:suppressAutoHyphens/>
      <w:outlineLvl w:val="5"/>
    </w:pPr>
    <w:rPr>
      <w:i/>
    </w:rPr>
  </w:style>
  <w:style w:type="paragraph" w:styleId="Heading7">
    <w:name w:val="heading 7"/>
    <w:basedOn w:val="Normal"/>
    <w:next w:val="Normal"/>
    <w:link w:val="Heading7Char"/>
    <w:uiPriority w:val="9"/>
    <w:qFormat/>
    <w:pPr>
      <w:keepNext/>
      <w:tabs>
        <w:tab w:val="left" w:pos="-720"/>
        <w:tab w:val="left" w:pos="4536"/>
      </w:tabs>
      <w:suppressAutoHyphens/>
      <w:jc w:val="both"/>
      <w:outlineLvl w:val="6"/>
    </w:pPr>
    <w:rPr>
      <w:i/>
    </w:rPr>
  </w:style>
  <w:style w:type="paragraph" w:styleId="Heading8">
    <w:name w:val="heading 8"/>
    <w:basedOn w:val="Normal"/>
    <w:next w:val="Normal"/>
    <w:link w:val="Heading8Char"/>
    <w:uiPriority w:val="9"/>
    <w:qFormat/>
    <w:pPr>
      <w:keepNext/>
      <w:tabs>
        <w:tab w:val="clear" w:pos="567"/>
      </w:tabs>
      <w:ind w:right="-318"/>
      <w:outlineLvl w:val="7"/>
    </w:pPr>
    <w:rPr>
      <w:b/>
    </w:rPr>
  </w:style>
  <w:style w:type="paragraph" w:styleId="Heading9">
    <w:name w:val="heading 9"/>
    <w:basedOn w:val="Normal"/>
    <w:next w:val="Normal"/>
    <w:link w:val="Heading9Char"/>
    <w:uiPriority w:val="9"/>
    <w:qFormat/>
    <w:pPr>
      <w:keepNext/>
      <w:tabs>
        <w:tab w:val="clear" w:pos="567"/>
      </w:tabs>
      <w:ind w:left="2268" w:right="1711" w:hanging="567"/>
      <w:outlineLvl w:val="8"/>
    </w:pPr>
    <w:rPr>
      <w:b/>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snapToGrid w:val="0"/>
      <w:kern w:val="32"/>
      <w:sz w:val="32"/>
      <w:szCs w:val="32"/>
      <w:lang w:val="en-GB"/>
    </w:rPr>
  </w:style>
  <w:style w:type="character" w:customStyle="1" w:styleId="Heading2Char">
    <w:name w:val="Heading 2 Char"/>
    <w:link w:val="Heading2"/>
    <w:uiPriority w:val="9"/>
    <w:semiHidden/>
    <w:rPr>
      <w:rFonts w:ascii="Cambria" w:eastAsia="Times New Roman" w:hAnsi="Cambria" w:cs="Times New Roman"/>
      <w:b/>
      <w:bCs/>
      <w:i/>
      <w:iCs/>
      <w:snapToGrid w:val="0"/>
      <w:sz w:val="28"/>
      <w:szCs w:val="28"/>
      <w:lang w:val="en-GB"/>
    </w:rPr>
  </w:style>
  <w:style w:type="character" w:customStyle="1" w:styleId="Heading3Char">
    <w:name w:val="Heading 3 Char"/>
    <w:link w:val="Heading3"/>
    <w:uiPriority w:val="9"/>
    <w:semiHidden/>
    <w:rPr>
      <w:rFonts w:ascii="Cambria" w:eastAsia="Times New Roman" w:hAnsi="Cambria" w:cs="Times New Roman"/>
      <w:b/>
      <w:bCs/>
      <w:snapToGrid w:val="0"/>
      <w:sz w:val="26"/>
      <w:szCs w:val="26"/>
      <w:lang w:val="en-GB"/>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lang w:val="en-GB"/>
    </w:rPr>
  </w:style>
  <w:style w:type="character" w:customStyle="1" w:styleId="Heading6Char">
    <w:name w:val="Heading 6 Char"/>
    <w:link w:val="Heading6"/>
    <w:uiPriority w:val="9"/>
    <w:semiHidden/>
    <w:rPr>
      <w:rFonts w:ascii="Calibri" w:eastAsia="Times New Roman" w:hAnsi="Calibri" w:cs="Times New Roman"/>
      <w:b/>
      <w:bCs/>
      <w:snapToGrid w:val="0"/>
      <w:sz w:val="22"/>
      <w:szCs w:val="22"/>
      <w:lang w:val="en-GB"/>
    </w:rPr>
  </w:style>
  <w:style w:type="character" w:customStyle="1" w:styleId="Heading7Char">
    <w:name w:val="Heading 7 Char"/>
    <w:link w:val="Heading7"/>
    <w:uiPriority w:val="9"/>
    <w:semiHidden/>
    <w:rPr>
      <w:rFonts w:ascii="Calibri" w:eastAsia="Times New Roman" w:hAnsi="Calibri" w:cs="Times New Roman"/>
      <w:snapToGrid w:val="0"/>
      <w:sz w:val="24"/>
      <w:szCs w:val="24"/>
      <w:lang w:val="en-GB"/>
    </w:rPr>
  </w:style>
  <w:style w:type="character" w:customStyle="1" w:styleId="Heading8Char">
    <w:name w:val="Heading 8 Char"/>
    <w:link w:val="Heading8"/>
    <w:uiPriority w:val="9"/>
    <w:semiHidden/>
    <w:rPr>
      <w:rFonts w:ascii="Calibri" w:eastAsia="Times New Roman" w:hAnsi="Calibri" w:cs="Times New Roman"/>
      <w:i/>
      <w:iCs/>
      <w:snapToGrid w:val="0"/>
      <w:sz w:val="24"/>
      <w:szCs w:val="24"/>
      <w:lang w:val="en-GB"/>
    </w:rPr>
  </w:style>
  <w:style w:type="character" w:customStyle="1" w:styleId="tw4winMark">
    <w:name w:val="tw4winMark"/>
    <w:uiPriority w:val="99"/>
    <w:rPr>
      <w:rFonts w:ascii="Courier New" w:hAnsi="Courier New"/>
      <w:vanish/>
      <w:color w:val="800080"/>
      <w:sz w:val="24"/>
      <w:vertAlign w:val="subscript"/>
    </w:rPr>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character" w:customStyle="1" w:styleId="HeaderChar">
    <w:name w:val="Header Char"/>
    <w:link w:val="Header"/>
    <w:uiPriority w:val="99"/>
    <w:semiHidden/>
    <w:rPr>
      <w:rFonts w:ascii="Times New Roman" w:hAnsi="Times New Roman" w:cs="Times New Roman"/>
      <w:snapToGrid w:val="0"/>
      <w:sz w:val="22"/>
      <w:lang w:val="en-GB"/>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uiPriority w:val="99"/>
    <w:semiHidden/>
    <w:rPr>
      <w:rFonts w:ascii="Times New Roman" w:hAnsi="Times New Roman" w:cs="Times New Roman"/>
      <w:snapToGrid w:val="0"/>
      <w:sz w:val="22"/>
      <w:lang w:val="en-GB"/>
    </w:rPr>
  </w:style>
  <w:style w:type="paragraph" w:styleId="TOC9">
    <w:name w:val="toc 9"/>
    <w:basedOn w:val="Normal"/>
    <w:next w:val="Normal"/>
    <w:uiPriority w:val="39"/>
    <w:semiHidden/>
    <w:pPr>
      <w:tabs>
        <w:tab w:val="clear" w:pos="567"/>
      </w:tabs>
      <w:ind w:left="1760"/>
    </w:pPr>
  </w:style>
  <w:style w:type="character" w:styleId="EndnoteReference">
    <w:name w:val="endnote reference"/>
    <w:uiPriority w:val="99"/>
    <w:semiHidden/>
    <w:rPr>
      <w:vertAlign w:val="superscript"/>
    </w:rPr>
  </w:style>
  <w:style w:type="character" w:styleId="FootnoteReference">
    <w:name w:val="footnote reference"/>
    <w:uiPriority w:val="99"/>
    <w:semiHidden/>
    <w:rPr>
      <w:vertAlign w:val="superscript"/>
    </w:rPr>
  </w:style>
  <w:style w:type="paragraph" w:styleId="FootnoteText">
    <w:name w:val="footnote text"/>
    <w:basedOn w:val="Normal"/>
    <w:link w:val="FootnoteTextChar"/>
    <w:uiPriority w:val="99"/>
    <w:semiHidden/>
    <w:pPr>
      <w:tabs>
        <w:tab w:val="clear" w:pos="567"/>
      </w:tabs>
      <w:spacing w:line="240" w:lineRule="auto"/>
      <w:jc w:val="both"/>
    </w:pPr>
    <w:rPr>
      <w:sz w:val="20"/>
    </w:rPr>
  </w:style>
  <w:style w:type="character" w:customStyle="1" w:styleId="FootnoteTextChar">
    <w:name w:val="Footnote Text Char"/>
    <w:link w:val="FootnoteText"/>
    <w:uiPriority w:val="99"/>
    <w:semiHidden/>
    <w:rPr>
      <w:rFonts w:ascii="Times New Roman" w:hAnsi="Times New Roman" w:cs="Times New Roman"/>
      <w:snapToGrid w:val="0"/>
      <w:lang w:val="en-GB"/>
    </w:rPr>
  </w:style>
  <w:style w:type="paragraph" w:styleId="BodyText">
    <w:name w:val="Body Text"/>
    <w:basedOn w:val="Normal"/>
    <w:link w:val="BodyTextChar"/>
    <w:uiPriority w:val="99"/>
    <w:pPr>
      <w:tabs>
        <w:tab w:val="clear" w:pos="567"/>
      </w:tabs>
      <w:spacing w:line="240" w:lineRule="auto"/>
      <w:jc w:val="both"/>
    </w:pPr>
  </w:style>
  <w:style w:type="character" w:customStyle="1" w:styleId="BodyTextChar">
    <w:name w:val="Body Text Char"/>
    <w:link w:val="BodyText"/>
    <w:uiPriority w:val="99"/>
    <w:semiHidden/>
    <w:rPr>
      <w:rFonts w:ascii="Times New Roman" w:hAnsi="Times New Roman" w:cs="Times New Roman"/>
      <w:snapToGrid w:val="0"/>
      <w:sz w:val="22"/>
      <w:lang w:val="en-GB"/>
    </w:rPr>
  </w:style>
  <w:style w:type="paragraph" w:styleId="BlockText">
    <w:name w:val="Block Text"/>
    <w:basedOn w:val="Normal"/>
    <w:uiPriority w:val="99"/>
    <w:pPr>
      <w:tabs>
        <w:tab w:val="clear" w:pos="567"/>
      </w:tabs>
      <w:ind w:left="2268" w:right="1711" w:hanging="567"/>
    </w:pPr>
    <w:rPr>
      <w:b/>
    </w:rPr>
  </w:style>
  <w:style w:type="paragraph" w:styleId="BodyText2">
    <w:name w:val="Body Text 2"/>
    <w:basedOn w:val="Normal"/>
    <w:link w:val="BodyText2Char"/>
    <w:uiPriority w:val="99"/>
    <w:pPr>
      <w:spacing w:line="240" w:lineRule="auto"/>
      <w:ind w:left="567" w:hanging="567"/>
    </w:pPr>
    <w:rPr>
      <w:b/>
    </w:rPr>
  </w:style>
  <w:style w:type="character" w:customStyle="1" w:styleId="BodyText2Char">
    <w:name w:val="Body Text 2 Char"/>
    <w:link w:val="BodyText2"/>
    <w:uiPriority w:val="99"/>
    <w:semiHidden/>
    <w:rPr>
      <w:rFonts w:ascii="Times New Roman" w:hAnsi="Times New Roman" w:cs="Times New Roman"/>
      <w:snapToGrid w:val="0"/>
      <w:sz w:val="22"/>
      <w:lang w:val="en-GB"/>
    </w:rPr>
  </w:style>
  <w:style w:type="paragraph" w:styleId="BodyText3">
    <w:name w:val="Body Text 3"/>
    <w:basedOn w:val="Normal"/>
    <w:link w:val="BodyText3Char"/>
    <w:uiPriority w:val="99"/>
    <w:pPr>
      <w:ind w:right="113"/>
      <w:jc w:val="both"/>
    </w:pPr>
    <w:rPr>
      <w:b/>
    </w:rPr>
  </w:style>
  <w:style w:type="character" w:customStyle="1" w:styleId="BodyText3Char">
    <w:name w:val="Body Text 3 Char"/>
    <w:link w:val="BodyText3"/>
    <w:uiPriority w:val="99"/>
    <w:semiHidden/>
    <w:rPr>
      <w:rFonts w:ascii="Times New Roman" w:hAnsi="Times New Roman" w:cs="Times New Roman"/>
      <w:snapToGrid w:val="0"/>
      <w:sz w:val="16"/>
      <w:szCs w:val="16"/>
      <w:lang w:val="en-GB"/>
    </w:rPr>
  </w:style>
  <w:style w:type="paragraph" w:styleId="EndnoteText">
    <w:name w:val="endnote text"/>
    <w:basedOn w:val="Normal"/>
    <w:link w:val="EndnoteTextChar"/>
    <w:uiPriority w:val="99"/>
    <w:semiHidden/>
    <w:pPr>
      <w:spacing w:line="240" w:lineRule="auto"/>
    </w:pPr>
  </w:style>
  <w:style w:type="character" w:customStyle="1" w:styleId="EndnoteTextChar">
    <w:name w:val="Endnote Text Char"/>
    <w:link w:val="EndnoteText"/>
    <w:uiPriority w:val="99"/>
    <w:semiHidden/>
    <w:rPr>
      <w:rFonts w:ascii="Times New Roman" w:hAnsi="Times New Roman" w:cs="Times New Roman"/>
      <w:snapToGrid w:val="0"/>
      <w:lang w:val="en-GB"/>
    </w:rPr>
  </w:style>
  <w:style w:type="character" w:styleId="CommentReference">
    <w:name w:val="annotation reference"/>
    <w:uiPriority w:val="99"/>
    <w:semiHidden/>
    <w:rPr>
      <w:sz w:val="16"/>
    </w:rPr>
  </w:style>
  <w:style w:type="paragraph" w:styleId="BodyTextIndent2">
    <w:name w:val="Body Text Indent 2"/>
    <w:basedOn w:val="Normal"/>
    <w:link w:val="BodyTextIndent2Char"/>
    <w:uiPriority w:val="99"/>
    <w:pPr>
      <w:ind w:left="567" w:hanging="567"/>
      <w:jc w:val="both"/>
    </w:pPr>
    <w:rPr>
      <w:b/>
    </w:rPr>
  </w:style>
  <w:style w:type="character" w:customStyle="1" w:styleId="BodyTextIndent2Char">
    <w:name w:val="Body Text Indent 2 Char"/>
    <w:link w:val="BodyTextIndent2"/>
    <w:uiPriority w:val="99"/>
    <w:semiHidden/>
    <w:rPr>
      <w:rFonts w:ascii="Times New Roman" w:hAnsi="Times New Roman" w:cs="Times New Roman"/>
      <w:snapToGrid w:val="0"/>
      <w:sz w:val="22"/>
      <w:lang w:val="en-GB"/>
    </w:rPr>
  </w:style>
  <w:style w:type="paragraph" w:styleId="CommentText">
    <w:name w:val="annotation text"/>
    <w:basedOn w:val="Normal"/>
    <w:link w:val="Heading9Char"/>
    <w:uiPriority w:val="99"/>
    <w:semiHidden/>
    <w:rPr>
      <w:sz w:val="20"/>
    </w:rPr>
  </w:style>
  <w:style w:type="character" w:customStyle="1" w:styleId="Heading9Char">
    <w:name w:val="Heading 9 Char"/>
    <w:link w:val="Heading9"/>
    <w:uiPriority w:val="99"/>
    <w:semiHidden/>
    <w:locked/>
    <w:rPr>
      <w:lang w:val="en-GB"/>
    </w:rPr>
  </w:style>
  <w:style w:type="paragraph" w:styleId="BodyTextIndent3">
    <w:name w:val="Body Text Indent 3"/>
    <w:basedOn w:val="Normal"/>
    <w:link w:val="BodyTextIndent3Char"/>
    <w:uiPriority w:val="99"/>
    <w:pPr>
      <w:spacing w:line="240" w:lineRule="auto"/>
      <w:ind w:left="567" w:hanging="567"/>
    </w:pPr>
  </w:style>
  <w:style w:type="character" w:customStyle="1" w:styleId="BodyTextIndent3Char">
    <w:name w:val="Body Text Indent 3 Char"/>
    <w:link w:val="BodyTextIndent3"/>
    <w:uiPriority w:val="99"/>
    <w:semiHidden/>
    <w:rPr>
      <w:rFonts w:ascii="Times New Roman" w:hAnsi="Times New Roman" w:cs="Times New Roman"/>
      <w:snapToGrid w:val="0"/>
      <w:sz w:val="16"/>
      <w:szCs w:val="16"/>
      <w:lang w:val="en-G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link w:val="BodytextAgencyChar"/>
    <w:pPr>
      <w:numPr>
        <w:ilvl w:val="1"/>
      </w:numPr>
      <w:tabs>
        <w:tab w:val="num" w:pos="1440"/>
      </w:tabs>
      <w:ind w:left="1440" w:hanging="360"/>
    </w:pPr>
    <w:rPr>
      <w:rFonts w:ascii="Times New Roman" w:hAnsi="Times New Roman" w:cs="Times New Roman"/>
      <w:b w:val="0"/>
      <w:bCs w:val="0"/>
      <w:snapToGrid/>
      <w:sz w:val="18"/>
      <w:lang w:eastAsia="x-none"/>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link w:val="DraftingNotesAgencyChar"/>
    <w:pPr>
      <w:numPr>
        <w:ilvl w:val="3"/>
      </w:numPr>
      <w:tabs>
        <w:tab w:val="num" w:pos="2880"/>
      </w:tabs>
      <w:ind w:left="2880" w:hanging="360"/>
      <w:jc w:val="both"/>
    </w:pPr>
    <w:rPr>
      <w:rFonts w:ascii="Courier New" w:hAnsi="Courier New"/>
      <w:i/>
      <w:color w:val="339966"/>
    </w:rPr>
  </w:style>
  <w:style w:type="paragraph" w:customStyle="1" w:styleId="AHeader3abc">
    <w:name w:val="AHeader 3 abc"/>
    <w:basedOn w:val="AHeader2abc"/>
    <w:link w:val="No-numheading3AgencyChar"/>
    <w:pPr>
      <w:numPr>
        <w:ilvl w:val="4"/>
      </w:numPr>
      <w:tabs>
        <w:tab w:val="num" w:pos="3600"/>
      </w:tabs>
      <w:ind w:left="3600"/>
    </w:pPr>
    <w:rPr>
      <w:rFonts w:ascii="Times New Roman" w:hAnsi="Times New Roman"/>
      <w:b/>
      <w:i w:val="0"/>
      <w:color w:val="auto"/>
      <w:kern w:val="32"/>
      <w:sz w:val="22"/>
    </w:rPr>
  </w:style>
  <w:style w:type="character" w:styleId="FollowedHyperlink">
    <w:name w:val="FollowedHyperlink"/>
    <w:uiPriority w:val="99"/>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snapToGrid/>
      <w:sz w:val="18"/>
      <w:lang w:eastAsia="x-none"/>
    </w:rPr>
  </w:style>
  <w:style w:type="character" w:customStyle="1" w:styleId="DraftingNotesAgencyChar">
    <w:name w:val="Drafting Notes (Agency) Char"/>
    <w:link w:val="AHeader2abc"/>
    <w:locked/>
    <w:rPr>
      <w:rFonts w:ascii="Courier New" w:eastAsia="Times New Roman" w:hAnsi="Courier New"/>
      <w:i/>
      <w:color w:val="339966"/>
      <w:sz w:val="18"/>
      <w:lang w:val="en-GB"/>
    </w:r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link w:val="BalloonText"/>
    <w:uiPriority w:val="99"/>
    <w:semiHidden/>
    <w:rPr>
      <w:rFonts w:ascii="Tahoma" w:hAnsi="Tahoma" w:cs="Tahoma"/>
      <w:snapToGrid w:val="0"/>
      <w:sz w:val="16"/>
      <w:szCs w:val="16"/>
      <w:lang w:val="en-GB"/>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ascii="Times New Roman" w:hAnsi="Times New Roman" w:cs="Times New Roman"/>
      <w:b/>
      <w:bCs/>
      <w:snapToGrid w:val="0"/>
      <w:lang w:val="en-GB"/>
    </w:rPr>
  </w:style>
  <w:style w:type="table" w:styleId="TableGrid">
    <w:name w:val="Table Grid"/>
    <w:basedOn w:val="TableNormal"/>
    <w:uiPriority w:val="59"/>
    <w:rPr>
      <w:snapToGrid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napToGrid w:val="0"/>
      <w:sz w:val="22"/>
      <w:lang w:val="en-GB"/>
    </w:rPr>
  </w:style>
  <w:style w:type="paragraph" w:customStyle="1" w:styleId="Default">
    <w:name w:val="Default"/>
    <w:pPr>
      <w:autoSpaceDE w:val="0"/>
      <w:autoSpaceDN w:val="0"/>
      <w:adjustRightInd w:val="0"/>
    </w:pPr>
    <w:rPr>
      <w:snapToGrid w:val="0"/>
      <w:color w:val="000000"/>
      <w:sz w:val="24"/>
      <w:szCs w:val="24"/>
      <w:lang w:val="it-IT"/>
    </w:rPr>
  </w:style>
  <w:style w:type="paragraph" w:customStyle="1" w:styleId="BodytextAgency">
    <w:name w:val="Body text (Agency)"/>
    <w:basedOn w:val="Normal"/>
    <w:pPr>
      <w:tabs>
        <w:tab w:val="clear" w:pos="567"/>
      </w:tabs>
      <w:spacing w:after="140" w:line="280" w:lineRule="atLeast"/>
    </w:pPr>
    <w:rPr>
      <w:sz w:val="18"/>
      <w:szCs w:val="18"/>
    </w:rPr>
  </w:style>
  <w:style w:type="paragraph" w:customStyle="1" w:styleId="DraftingNotesAgency">
    <w:name w:val="Drafting Notes (Agency)"/>
    <w:basedOn w:val="Normal"/>
    <w:next w:val="BodytextAgency"/>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cs="Arial"/>
      <w:b/>
      <w:bCs/>
      <w:kern w:val="32"/>
      <w:szCs w:val="22"/>
    </w:rPr>
  </w:style>
  <w:style w:type="paragraph" w:customStyle="1" w:styleId="NormalAgency">
    <w:name w:val="Normal (Agency)"/>
    <w:rPr>
      <w:snapToGrid w:val="0"/>
      <w:sz w:val="18"/>
      <w:szCs w:val="18"/>
      <w:lang w:val="en-GB"/>
    </w:rPr>
  </w:style>
  <w:style w:type="table" w:customStyle="1" w:styleId="TablegridAgencyblack">
    <w:name w:val="Table grid (Agency) black"/>
    <w:basedOn w:val="TableNormal"/>
    <w:semiHidden/>
    <w:rPr>
      <w:snapToGrid w:val="0"/>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style>
  <w:style w:type="paragraph" w:customStyle="1" w:styleId="TableheadingrowsAgency">
    <w:name w:val="Table heading rows (Agency)"/>
    <w:basedOn w:val="BodytextAgency"/>
    <w:semiHidden/>
    <w:pPr>
      <w:keepNext/>
    </w:pPr>
    <w:rPr>
      <w:b/>
    </w:rPr>
  </w:style>
  <w:style w:type="paragraph" w:customStyle="1" w:styleId="TabletextrowsAgency">
    <w:name w:val="Table text rows (Agency)"/>
    <w:basedOn w:val="Normal"/>
    <w:semiHidden/>
    <w:pPr>
      <w:tabs>
        <w:tab w:val="clear" w:pos="567"/>
      </w:tabs>
      <w:spacing w:line="280" w:lineRule="exact"/>
    </w:pPr>
    <w:rPr>
      <w:sz w:val="18"/>
      <w:szCs w:val="18"/>
    </w:rPr>
  </w:style>
  <w:style w:type="character" w:customStyle="1" w:styleId="BodytextAgencyChar">
    <w:name w:val="Body text (Agency) Char"/>
    <w:link w:val="AHeader2"/>
    <w:locked/>
    <w:rPr>
      <w:rFonts w:ascii="Times New Roman" w:eastAsia="Times New Roman" w:hAnsi="Times New Roman"/>
      <w:sz w:val="18"/>
      <w:lang w:val="en-GB"/>
    </w:rPr>
  </w:style>
  <w:style w:type="character" w:customStyle="1" w:styleId="BodyTextIndentChar">
    <w:name w:val="Body Text Indent Char"/>
    <w:link w:val="BodyTextIndent"/>
    <w:locked/>
    <w:rPr>
      <w:rFonts w:ascii="Times New Roman" w:eastAsia="Times New Roman" w:hAnsi="Times New Roman"/>
      <w:sz w:val="18"/>
      <w:lang w:val="en-GB"/>
    </w:rPr>
  </w:style>
  <w:style w:type="character" w:customStyle="1" w:styleId="No-numheading3AgencyChar">
    <w:name w:val="No-num heading 3 (Agency) Char"/>
    <w:link w:val="AHeader3abc"/>
    <w:locked/>
    <w:rPr>
      <w:rFonts w:ascii="Times New Roman" w:eastAsia="Times New Roman" w:hAnsi="Times New Roman"/>
      <w:b/>
      <w:kern w:val="32"/>
      <w:sz w:val="22"/>
      <w:lang w:val="en-GB"/>
    </w:rPr>
  </w:style>
  <w:style w:type="paragraph" w:customStyle="1" w:styleId="Normalold">
    <w:name w:val="Normal (old)"/>
    <w:basedOn w:val="Normal"/>
    <w:pPr>
      <w:tabs>
        <w:tab w:val="clear" w:pos="567"/>
      </w:tabs>
      <w:spacing w:line="240" w:lineRule="auto"/>
      <w:ind w:left="720" w:hanging="720"/>
    </w:pPr>
    <w:rPr>
      <w:szCs w:val="18"/>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numbering" w:customStyle="1" w:styleId="BulletsAgency">
    <w:name w:val="Bullets (Agency)"/>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431420">
      <w:marLeft w:val="0"/>
      <w:marRight w:val="0"/>
      <w:marTop w:val="0"/>
      <w:marBottom w:val="0"/>
      <w:divBdr>
        <w:top w:val="none" w:sz="0" w:space="0" w:color="auto"/>
        <w:left w:val="none" w:sz="0" w:space="0" w:color="auto"/>
        <w:bottom w:val="none" w:sz="0" w:space="0" w:color="auto"/>
        <w:right w:val="none" w:sz="0" w:space="0" w:color="auto"/>
      </w:divBdr>
    </w:div>
    <w:div w:id="752431421">
      <w:marLeft w:val="0"/>
      <w:marRight w:val="0"/>
      <w:marTop w:val="0"/>
      <w:marBottom w:val="0"/>
      <w:divBdr>
        <w:top w:val="none" w:sz="0" w:space="0" w:color="auto"/>
        <w:left w:val="none" w:sz="0" w:space="0" w:color="auto"/>
        <w:bottom w:val="none" w:sz="0" w:space="0" w:color="auto"/>
        <w:right w:val="none" w:sz="0" w:space="0" w:color="auto"/>
      </w:divBdr>
    </w:div>
    <w:div w:id="752431422">
      <w:marLeft w:val="0"/>
      <w:marRight w:val="0"/>
      <w:marTop w:val="0"/>
      <w:marBottom w:val="0"/>
      <w:divBdr>
        <w:top w:val="none" w:sz="0" w:space="0" w:color="auto"/>
        <w:left w:val="none" w:sz="0" w:space="0" w:color="auto"/>
        <w:bottom w:val="none" w:sz="0" w:space="0" w:color="auto"/>
        <w:right w:val="none" w:sz="0" w:space="0" w:color="auto"/>
      </w:divBdr>
    </w:div>
    <w:div w:id="752431423">
      <w:marLeft w:val="0"/>
      <w:marRight w:val="0"/>
      <w:marTop w:val="0"/>
      <w:marBottom w:val="0"/>
      <w:divBdr>
        <w:top w:val="none" w:sz="0" w:space="0" w:color="auto"/>
        <w:left w:val="none" w:sz="0" w:space="0" w:color="auto"/>
        <w:bottom w:val="none" w:sz="0" w:space="0" w:color="auto"/>
        <w:right w:val="none" w:sz="0" w:space="0" w:color="auto"/>
      </w:divBdr>
    </w:div>
    <w:div w:id="752431424">
      <w:marLeft w:val="0"/>
      <w:marRight w:val="0"/>
      <w:marTop w:val="0"/>
      <w:marBottom w:val="0"/>
      <w:divBdr>
        <w:top w:val="none" w:sz="0" w:space="0" w:color="auto"/>
        <w:left w:val="none" w:sz="0" w:space="0" w:color="auto"/>
        <w:bottom w:val="none" w:sz="0" w:space="0" w:color="auto"/>
        <w:right w:val="none" w:sz="0" w:space="0" w:color="auto"/>
      </w:divBdr>
    </w:div>
    <w:div w:id="752431425">
      <w:marLeft w:val="0"/>
      <w:marRight w:val="0"/>
      <w:marTop w:val="0"/>
      <w:marBottom w:val="0"/>
      <w:divBdr>
        <w:top w:val="none" w:sz="0" w:space="0" w:color="auto"/>
        <w:left w:val="none" w:sz="0" w:space="0" w:color="auto"/>
        <w:bottom w:val="none" w:sz="0" w:space="0" w:color="auto"/>
        <w:right w:val="none" w:sz="0" w:space="0" w:color="auto"/>
      </w:divBdr>
    </w:div>
    <w:div w:id="752431426">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9056</Characters>
  <DocSecurity>0</DocSecurity>
  <Lines>75</Lines>
  <Paragraphs>21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ZA</vt:lpstr>
      <vt:lpstr/>
    </vt:vector>
  </TitlesOfParts>
  <Company/>
  <LinksUpToDate>false</LinksUpToDate>
  <CharactersWithSpaces>10623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